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20" w:rsidRPr="00AB3060" w:rsidRDefault="00AB3060" w:rsidP="00AB3060">
      <w:pPr>
        <w:pStyle w:val="aa"/>
        <w:jc w:val="right"/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Табиғ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 xml:space="preserve">и монополия </w:t>
      </w:r>
      <w:r w:rsidRPr="00AB3060">
        <w:rPr>
          <w:rFonts w:ascii="Times New Roman" w:hAnsi="Times New Roman" w:cs="Times New Roman"/>
          <w:b/>
          <w:sz w:val="10"/>
          <w:szCs w:val="10"/>
        </w:rPr>
        <w:t>субъектісінің</w:t>
      </w:r>
      <w:r w:rsidRPr="00AB3060">
        <w:rPr>
          <w:rFonts w:ascii="Times New Roman" w:hAnsi="Times New Roman" w:cs="Times New Roman"/>
          <w:b/>
          <w:sz w:val="10"/>
          <w:szCs w:val="10"/>
        </w:rPr>
        <w:cr/>
      </w:r>
      <w:r w:rsidRPr="00AB3060">
        <w:rPr>
          <w:rFonts w:ascii="Times New Roman" w:hAnsi="Times New Roman" w:cs="Times New Roman"/>
          <w:b/>
          <w:sz w:val="10"/>
          <w:szCs w:val="10"/>
        </w:rPr>
        <w:br/>
        <w:t>инвестициялық ба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>дарламалары</w:t>
      </w:r>
      <w:r w:rsidRPr="00AB3060">
        <w:rPr>
          <w:rFonts w:ascii="Times New Roman" w:hAnsi="Times New Roman" w:cs="Times New Roman"/>
          <w:b/>
          <w:sz w:val="10"/>
          <w:szCs w:val="10"/>
        </w:rPr>
        <w:t>н</w:t>
      </w:r>
      <w:r w:rsidRPr="00AB3060">
        <w:rPr>
          <w:rFonts w:ascii="Times New Roman" w:hAnsi="Times New Roman" w:cs="Times New Roman"/>
          <w:b/>
          <w:sz w:val="10"/>
          <w:szCs w:val="10"/>
        </w:rPr>
        <w:cr/>
      </w:r>
      <w:r w:rsidRPr="00AB3060">
        <w:rPr>
          <w:rFonts w:ascii="Times New Roman" w:hAnsi="Times New Roman" w:cs="Times New Roman"/>
          <w:b/>
          <w:sz w:val="10"/>
          <w:szCs w:val="10"/>
        </w:rPr>
        <w:br/>
        <w:t>(жобаларын) бекіту, оларды тү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>зету,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cr/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br/>
        <w:t>сондай</w:t>
      </w:r>
      <w:r w:rsidRPr="00AB3060">
        <w:rPr>
          <w:rFonts w:ascii="Times New Roman" w:hAnsi="Times New Roman" w:cs="Times New Roman"/>
          <w:b/>
          <w:sz w:val="10"/>
          <w:szCs w:val="10"/>
        </w:rPr>
        <w:t>-ақ олардың орындалуы туралы</w:t>
      </w:r>
      <w:r w:rsidRPr="00AB3060">
        <w:rPr>
          <w:rFonts w:ascii="Times New Roman" w:hAnsi="Times New Roman" w:cs="Times New Roman"/>
          <w:b/>
          <w:sz w:val="10"/>
          <w:szCs w:val="10"/>
        </w:rPr>
        <w:cr/>
      </w:r>
      <w:r w:rsidRPr="00AB3060">
        <w:rPr>
          <w:rFonts w:ascii="Times New Roman" w:hAnsi="Times New Roman" w:cs="Times New Roman"/>
          <w:b/>
          <w:sz w:val="10"/>
          <w:szCs w:val="10"/>
        </w:rPr>
        <w:br/>
        <w:t>ақпаратқ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>а талдау жүргізу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cr/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br/>
        <w:t>қағидаларына 4 қосымша</w:t>
      </w:r>
    </w:p>
    <w:p w:rsidR="00AB3060" w:rsidRPr="00AB3060" w:rsidRDefault="0071257B" w:rsidP="00AB3060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2016 жылға инвестициялық бағдарламаны (жобаны) орындау</w:t>
      </w:r>
    </w:p>
    <w:p w:rsidR="00832920" w:rsidRPr="00AB3060" w:rsidRDefault="0071257B" w:rsidP="00AB3060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 xml:space="preserve"> барысы туралы табиғи монополия субъектісінің ақпараты*</w:t>
      </w:r>
    </w:p>
    <w:p w:rsidR="00832920" w:rsidRPr="00AB3060" w:rsidRDefault="0071257B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«Бейнеу-Шымкент газ құбыры» ЖШС</w:t>
      </w:r>
    </w:p>
    <w:p w:rsidR="00832920" w:rsidRPr="00AB3060" w:rsidRDefault="0071257B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Қызмет түрі: тауар газын  магистральды газ құбыры бойымен тасымалдау</w:t>
      </w:r>
    </w:p>
    <w:p w:rsidR="00832920" w:rsidRPr="00AB3060" w:rsidRDefault="0071257B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Серіктестіктің 2016 жылғы инвестициялық бағдарламасы ҚР Энергетика Министрлігінің 2016 жылғы 12 желтоқсандағы №530 және Қазақстан Республикасы Ұлттық экономика министрлігі Табиғи монополияларды реттеу, бәсекелестікті және тұтынушылардың құқықтарын қорғау комитетінің Алматы қаласы бойынша департаментінің 2016 жылғы 20 қазандағы  №189-ОД бірлескен Бұйрығымен бекітілген.</w:t>
      </w:r>
    </w:p>
    <w:p w:rsidR="00AB3060" w:rsidRPr="00AB3060" w:rsidRDefault="00AB3060" w:rsidP="00AB3060">
      <w:pPr>
        <w:rPr>
          <w:rFonts w:ascii="Times New Roman" w:hAnsi="Times New Roman" w:cs="Times New Roman"/>
          <w:sz w:val="10"/>
          <w:szCs w:val="1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1444"/>
        <w:gridCol w:w="839"/>
        <w:gridCol w:w="421"/>
        <w:gridCol w:w="454"/>
        <w:gridCol w:w="630"/>
        <w:gridCol w:w="731"/>
        <w:gridCol w:w="634"/>
        <w:gridCol w:w="731"/>
        <w:gridCol w:w="860"/>
        <w:gridCol w:w="572"/>
        <w:gridCol w:w="763"/>
        <w:gridCol w:w="745"/>
        <w:gridCol w:w="738"/>
        <w:gridCol w:w="1588"/>
        <w:gridCol w:w="418"/>
        <w:gridCol w:w="418"/>
        <w:gridCol w:w="475"/>
        <w:gridCol w:w="677"/>
      </w:tblGrid>
      <w:tr w:rsidR="00832920" w:rsidRPr="00AB3060">
        <w:trPr>
          <w:trHeight w:hRule="exact" w:val="15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1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Қаржыландыру көздерінің бөлінісінде инвестициялық бағдарламаны (жобаны) іске асыру туралы ақпарат, мың теңге</w:t>
            </w:r>
          </w:p>
        </w:tc>
      </w:tr>
      <w:tr w:rsidR="00832920" w:rsidRPr="00AB3060">
        <w:trPr>
          <w:trHeight w:hRule="exact" w:val="691"/>
          <w:jc w:val="center"/>
        </w:trPr>
        <w:tc>
          <w:tcPr>
            <w:tcW w:w="324" w:type="dxa"/>
            <w:tcBorders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№ рт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Іс-шараның атауы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Өлшем бірлігі (заттай көрсеткіштер үшін)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Заттай көрсеткіштердегі саны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Инвестициялық бағдарламаның (жобаның) сомасы, мың теңге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өз қаражаты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қарыз қаражаты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Бюджет қаражаты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b/>
                <w:sz w:val="10"/>
                <w:szCs w:val="10"/>
              </w:rPr>
              <w:t>Реттелмейтін (өзге) қызмет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41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ауытқу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ауытқу себептері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ауытқу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ауытқу себептері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дерек</w:t>
            </w:r>
          </w:p>
        </w:tc>
      </w:tr>
      <w:tr w:rsidR="00832920" w:rsidRPr="00AB3060">
        <w:trPr>
          <w:trHeight w:hRule="exact" w:val="137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және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</w:tr>
      <w:tr w:rsidR="00832920" w:rsidRPr="00AB3060">
        <w:trPr>
          <w:trHeight w:hRule="exact" w:val="688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«Бейнеу-Бозой» учаскесіндегі (0-311 км) магистральды газ құбыры желілік бөлігінің құрылысы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20 146 270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15 105 312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20 146 270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15 105 312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-5 040 958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Игерілмеу Мердігерлердің шарттық міндеттемелерді тиісті түрде орындамауымен байланысты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688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B7531F" w:rsidP="00B7531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«</w:t>
            </w:r>
            <w:r w:rsidR="0071257B" w:rsidRPr="00AB3060">
              <w:rPr>
                <w:rFonts w:ascii="Times New Roman" w:hAnsi="Times New Roman" w:cs="Times New Roman"/>
                <w:sz w:val="10"/>
                <w:szCs w:val="10"/>
              </w:rPr>
              <w:t>Бозой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»</w:t>
            </w:r>
            <w:bookmarkStart w:id="0" w:name="_GoBack"/>
            <w:bookmarkEnd w:id="0"/>
            <w:r w:rsidR="0071257B"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 компрессорлық станциясының құрылысы (5 ГАА, бірлік қуаты 1020 кВт)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бірлік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43 017 063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21 606 885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43 017 063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21 606 885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-21 410 178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Игерілмеу Мердігерлердің шарттық міндеттемелерді тиісті түрде орындамауымен байланысты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828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Жөндеу-пайдалану учаскелерінің құрылысы (Ақсуат, Шорнақ, Сексеуілді, Қараөзек)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бірлік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278 726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476 343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278 726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476 343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197617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Игерілмеу Мердігерлердің шарттық міндеттемелерді тиісті түрде орындамауымен байланысты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684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Вахталық кенттердің құрылысы (Ақсуат, Шорнақ, Сексеуілді, Қараөзек, Бозой)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бірлік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1 563 217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1 906 348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1 563 217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1 906 348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343 131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Игерілмеу Мердігерлердің шарттық міндеттемелерді тиісті түрде орындамауымен байланысты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70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«SCADA» телеметрия және автоматтандырылған коммерциялық газ есебі жүйесін енгізу</w:t>
            </w:r>
          </w:p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жұмыс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9 894 636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8 308 335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9 894 636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8 308 335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-1 586 301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Игерілмеу Мердігерлердің шарттық міндеттемелерді тиісті түрде орындамауымен байланысты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2920" w:rsidRPr="00AB3060" w:rsidRDefault="00832920" w:rsidP="00AB3060">
      <w:pPr>
        <w:rPr>
          <w:rFonts w:ascii="Times New Roman" w:hAnsi="Times New Roman" w:cs="Times New Roman"/>
          <w:sz w:val="10"/>
          <w:szCs w:val="10"/>
        </w:rPr>
      </w:pPr>
    </w:p>
    <w:p w:rsidR="00832920" w:rsidRPr="00AB3060" w:rsidRDefault="00832920" w:rsidP="00AB3060">
      <w:pPr>
        <w:rPr>
          <w:rFonts w:ascii="Times New Roman" w:hAnsi="Times New Roman" w:cs="Times New Roman"/>
          <w:sz w:val="10"/>
          <w:szCs w:val="10"/>
        </w:rPr>
      </w:pPr>
    </w:p>
    <w:p w:rsidR="00832920" w:rsidRPr="00AB3060" w:rsidRDefault="0071257B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 xml:space="preserve">2016 жылдың 11 айы үшін деректі мәндер, есептеу анықтамасының есебімен Бас директордың экономика және қаржы жөніндегі орынбасары </w:t>
      </w:r>
    </w:p>
    <w:p w:rsidR="00832920" w:rsidRPr="00AB3060" w:rsidRDefault="0071257B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С.Б. Шабдукаримов</w:t>
      </w:r>
      <w:r w:rsidRPr="00AB3060">
        <w:rPr>
          <w:rFonts w:ascii="Times New Roman" w:hAnsi="Times New Roman" w:cs="Times New Roman"/>
          <w:b/>
          <w:sz w:val="10"/>
          <w:szCs w:val="10"/>
        </w:rPr>
        <w:tab/>
      </w:r>
      <w:r w:rsidRPr="00AB3060">
        <w:rPr>
          <w:rFonts w:ascii="Times New Roman" w:hAnsi="Times New Roman" w:cs="Times New Roman"/>
          <w:b/>
          <w:sz w:val="10"/>
          <w:szCs w:val="10"/>
        </w:rPr>
        <w:tab/>
      </w:r>
    </w:p>
    <w:p w:rsidR="00AB3060" w:rsidRPr="00AB3060" w:rsidRDefault="00AB3060" w:rsidP="00AB3060">
      <w:pPr>
        <w:rPr>
          <w:rFonts w:ascii="Times New Roman" w:hAnsi="Times New Roman" w:cs="Times New Roman"/>
          <w:b/>
          <w:sz w:val="10"/>
          <w:szCs w:val="10"/>
        </w:rPr>
      </w:pPr>
    </w:p>
    <w:p w:rsidR="00832920" w:rsidRPr="00AB3060" w:rsidRDefault="00AB3060" w:rsidP="00AB3060">
      <w:pPr>
        <w:rPr>
          <w:rFonts w:ascii="Times New Roman" w:hAnsi="Times New Roman" w:cs="Times New Roman"/>
          <w:b/>
          <w:sz w:val="10"/>
          <w:szCs w:val="10"/>
        </w:rPr>
      </w:pPr>
      <w:r w:rsidRPr="00AB3060">
        <w:rPr>
          <w:rFonts w:ascii="Times New Roman" w:hAnsi="Times New Roman" w:cs="Times New Roman"/>
          <w:b/>
          <w:sz w:val="10"/>
          <w:szCs w:val="10"/>
        </w:rPr>
        <w:t>к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>үні «14</w:t>
      </w:r>
      <w:r w:rsidR="00B7531F">
        <w:rPr>
          <w:rFonts w:ascii="Times New Roman" w:hAnsi="Times New Roman" w:cs="Times New Roman"/>
          <w:b/>
          <w:sz w:val="10"/>
          <w:szCs w:val="10"/>
        </w:rPr>
        <w:t xml:space="preserve">» </w:t>
      </w:r>
      <w:r w:rsidR="0071257B" w:rsidRPr="00AB3060">
        <w:rPr>
          <w:rFonts w:ascii="Times New Roman" w:hAnsi="Times New Roman" w:cs="Times New Roman"/>
          <w:b/>
          <w:sz w:val="10"/>
          <w:szCs w:val="10"/>
        </w:rPr>
        <w:t>желтоқсан 2016 жыл</w:t>
      </w:r>
    </w:p>
    <w:p w:rsidR="00832920" w:rsidRPr="00AB3060" w:rsidRDefault="00832920" w:rsidP="00AB3060">
      <w:pPr>
        <w:rPr>
          <w:rFonts w:ascii="Times New Roman" w:hAnsi="Times New Roman" w:cs="Times New Roman"/>
          <w:sz w:val="10"/>
          <w:szCs w:val="10"/>
        </w:rPr>
      </w:pPr>
    </w:p>
    <w:p w:rsidR="00832920" w:rsidRPr="00AB3060" w:rsidRDefault="0071257B" w:rsidP="00AB3060">
      <w:pPr>
        <w:rPr>
          <w:rFonts w:ascii="Times New Roman" w:hAnsi="Times New Roman" w:cs="Times New Roman"/>
          <w:sz w:val="10"/>
          <w:szCs w:val="10"/>
        </w:rPr>
      </w:pPr>
      <w:r w:rsidRPr="00AB3060">
        <w:rPr>
          <w:rFonts w:ascii="Times New Roman" w:hAnsi="Times New Roman" w:cs="Times New Roman"/>
          <w:sz w:val="10"/>
          <w:szCs w:val="10"/>
        </w:rPr>
        <w:br w:type="page"/>
      </w:r>
    </w:p>
    <w:p w:rsidR="00832920" w:rsidRPr="00AB3060" w:rsidRDefault="0071257B" w:rsidP="00AB3060">
      <w:pPr>
        <w:rPr>
          <w:rFonts w:ascii="Times New Roman" w:hAnsi="Times New Roman" w:cs="Times New Roman"/>
          <w:sz w:val="10"/>
          <w:szCs w:val="10"/>
        </w:rPr>
      </w:pPr>
      <w:r w:rsidRPr="00AB3060">
        <w:rPr>
          <w:rFonts w:ascii="Times New Roman" w:hAnsi="Times New Roman" w:cs="Times New Roman"/>
          <w:sz w:val="10"/>
          <w:szCs w:val="10"/>
        </w:rPr>
        <w:lastRenderedPageBreak/>
        <w:t>Табиғи монополия субъектісінің</w:t>
      </w:r>
      <w:r w:rsidRPr="00AB3060">
        <w:rPr>
          <w:rFonts w:ascii="Times New Roman" w:hAnsi="Times New Roman" w:cs="Times New Roman"/>
          <w:sz w:val="10"/>
          <w:szCs w:val="10"/>
        </w:rPr>
        <w:cr/>
      </w:r>
      <w:r w:rsidRPr="00AB3060">
        <w:rPr>
          <w:rFonts w:ascii="Times New Roman" w:hAnsi="Times New Roman" w:cs="Times New Roman"/>
          <w:sz w:val="10"/>
          <w:szCs w:val="10"/>
        </w:rPr>
        <w:br/>
        <w:t>инвестициялық бағдарламаларын</w:t>
      </w:r>
      <w:r w:rsidRPr="00AB3060">
        <w:rPr>
          <w:rFonts w:ascii="Times New Roman" w:hAnsi="Times New Roman" w:cs="Times New Roman"/>
          <w:sz w:val="10"/>
          <w:szCs w:val="10"/>
        </w:rPr>
        <w:cr/>
      </w:r>
      <w:r w:rsidRPr="00AB3060">
        <w:rPr>
          <w:rFonts w:ascii="Times New Roman" w:hAnsi="Times New Roman" w:cs="Times New Roman"/>
          <w:sz w:val="10"/>
          <w:szCs w:val="10"/>
        </w:rPr>
        <w:br/>
        <w:t>(жобаларын) бекіту, оларды түзету,</w:t>
      </w:r>
      <w:r w:rsidRPr="00AB3060">
        <w:rPr>
          <w:rFonts w:ascii="Times New Roman" w:hAnsi="Times New Roman" w:cs="Times New Roman"/>
          <w:sz w:val="10"/>
          <w:szCs w:val="10"/>
        </w:rPr>
        <w:cr/>
      </w:r>
      <w:r w:rsidRPr="00AB3060">
        <w:rPr>
          <w:rFonts w:ascii="Times New Roman" w:hAnsi="Times New Roman" w:cs="Times New Roman"/>
          <w:sz w:val="10"/>
          <w:szCs w:val="10"/>
        </w:rPr>
        <w:br/>
        <w:t>сондай-ақ олардың орындалуы туралы</w:t>
      </w:r>
      <w:r w:rsidRPr="00AB3060">
        <w:rPr>
          <w:rFonts w:ascii="Times New Roman" w:hAnsi="Times New Roman" w:cs="Times New Roman"/>
          <w:sz w:val="10"/>
          <w:szCs w:val="10"/>
        </w:rPr>
        <w:cr/>
      </w:r>
      <w:r w:rsidRPr="00AB3060">
        <w:rPr>
          <w:rFonts w:ascii="Times New Roman" w:hAnsi="Times New Roman" w:cs="Times New Roman"/>
          <w:sz w:val="10"/>
          <w:szCs w:val="10"/>
        </w:rPr>
        <w:br/>
        <w:t>ақпаратқа талдау жүргізу</w:t>
      </w:r>
      <w:r w:rsidRPr="00AB3060">
        <w:rPr>
          <w:rFonts w:ascii="Times New Roman" w:hAnsi="Times New Roman" w:cs="Times New Roman"/>
          <w:sz w:val="10"/>
          <w:szCs w:val="10"/>
        </w:rPr>
        <w:cr/>
      </w:r>
      <w:r w:rsidRPr="00AB3060">
        <w:rPr>
          <w:rFonts w:ascii="Times New Roman" w:hAnsi="Times New Roman" w:cs="Times New Roman"/>
          <w:sz w:val="10"/>
          <w:szCs w:val="10"/>
        </w:rPr>
        <w:br/>
        <w:t>қағидаларына 4 қосымшаның жалғасы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1512"/>
        <w:gridCol w:w="1004"/>
        <w:gridCol w:w="1148"/>
        <w:gridCol w:w="2473"/>
        <w:gridCol w:w="1757"/>
      </w:tblGrid>
      <w:tr w:rsidR="00832920" w:rsidRPr="00AB3060">
        <w:trPr>
          <w:trHeight w:hRule="exact" w:val="7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Тиімділік, сенімділік және сапа көрсеткіштері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есеп беру кезеңі алдындағы жылдық (жарты жылдық) дерек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жоспар (2016 жыл)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Ағымдағы жылдың (жарты жылдың) дерегі*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Тиімділік, сенімділік және сапа көрсеткіштеріне қол жеткізуді бағалау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Тиімділік, сенімділік және сапа көрсеткіштеріне қол жеткізе алмау себептері (негіздеме)</w:t>
            </w:r>
          </w:p>
        </w:tc>
      </w:tr>
      <w:tr w:rsidR="00832920" w:rsidRPr="00AB3060">
        <w:trPr>
          <w:trHeight w:hRule="exact" w:val="87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Өндірістік көрсеткіштердің жақсартылуы, %, бекітілген инвестициялық бағдарламаға (жобаға) байланысты іске асыру жылдары бойынша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Магистральды газ құбырының барлық объектілері пайдалануға енгізілген соң, жыл ішіндегі тасымалданатын газдың жобалық өткізу қабілеттілігін 10 млрд м3 дейін ұлғайту жоспарлануда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43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Негізгі қорларды (активтерді) тозуды (физикалық) төмендету, %, бекітілген инвестициялық бағдарламаға (жобаға) байланысты іске асыру жылдары бойынша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4.5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4,5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Негізгі қорлардың (активтердің) тозуын төмендету жаңа объектілерді пайдалануға берумен байланысты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87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Шығындарды төмендету, %, бекітілген инвестициялық бағдарламаға (жобаға) байланысты іске асыру жылдары бойынша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1,43%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1,96%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1.10%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 Инвестициялық бағдарлама шеңберінде нормативтік техникалық шығындарды төмендету бойынша іс-шаралар жүргізіледі. Есеп беру кезеңінде осы көрсеткіштің оң серпіні бар.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5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Апаттарды төмендету, бекітілген инвестициялық бағдарламаға байланысты іске асыру жылдары бойынша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 xml:space="preserve">Апаттың болмауы апатқа қарсы іс-шаралардың, оның ішінде инвестициялық бағдарлама шеңберіндегі іс-шаралардың орындалуымен байланысты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920" w:rsidRPr="00AB3060">
        <w:trPr>
          <w:trHeight w:hRule="exact" w:val="52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Тауар газын  магистральды газ құбыры бойымен тасымалдау көлемі (мың м3)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1 215 927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1 762 510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1 829 527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920" w:rsidRPr="00AB3060" w:rsidRDefault="0071257B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B3060">
              <w:rPr>
                <w:rFonts w:ascii="Times New Roman" w:hAnsi="Times New Roman" w:cs="Times New Roman"/>
                <w:sz w:val="10"/>
                <w:szCs w:val="10"/>
              </w:rPr>
              <w:t>Ақпарат 2016 жылдың 11 айы үшін ұсынылған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20" w:rsidRPr="00AB3060" w:rsidRDefault="00832920" w:rsidP="00AB306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2920" w:rsidRPr="00AB3060" w:rsidRDefault="00832920" w:rsidP="00AB3060">
      <w:pPr>
        <w:rPr>
          <w:rFonts w:ascii="Times New Roman" w:hAnsi="Times New Roman" w:cs="Times New Roman"/>
          <w:sz w:val="10"/>
          <w:szCs w:val="10"/>
        </w:rPr>
      </w:pPr>
    </w:p>
    <w:p w:rsidR="00832920" w:rsidRPr="00AB3060" w:rsidRDefault="00832920" w:rsidP="00AB3060">
      <w:pPr>
        <w:rPr>
          <w:rFonts w:ascii="Times New Roman" w:hAnsi="Times New Roman" w:cs="Times New Roman"/>
          <w:sz w:val="10"/>
          <w:szCs w:val="10"/>
        </w:rPr>
      </w:pPr>
    </w:p>
    <w:p w:rsidR="00832920" w:rsidRPr="00AB3060" w:rsidRDefault="0071257B" w:rsidP="00AB3060">
      <w:pPr>
        <w:rPr>
          <w:rFonts w:ascii="Times New Roman" w:hAnsi="Times New Roman" w:cs="Times New Roman"/>
          <w:sz w:val="10"/>
          <w:szCs w:val="10"/>
        </w:rPr>
      </w:pPr>
      <w:r w:rsidRPr="00AB3060">
        <w:rPr>
          <w:rFonts w:ascii="Times New Roman" w:hAnsi="Times New Roman" w:cs="Times New Roman"/>
          <w:sz w:val="10"/>
          <w:szCs w:val="10"/>
        </w:rPr>
        <w:t xml:space="preserve">* - есептеу анықтамасының есебімен 2016 жылдың 11 айы үшін деректі мәндер </w:t>
      </w:r>
    </w:p>
    <w:p w:rsidR="00832920" w:rsidRPr="00AB3060" w:rsidRDefault="0071257B" w:rsidP="00AB3060">
      <w:pPr>
        <w:rPr>
          <w:rFonts w:ascii="Times New Roman" w:hAnsi="Times New Roman" w:cs="Times New Roman"/>
          <w:sz w:val="10"/>
          <w:szCs w:val="10"/>
        </w:rPr>
      </w:pPr>
      <w:r w:rsidRPr="00AB3060">
        <w:rPr>
          <w:rFonts w:ascii="Times New Roman" w:hAnsi="Times New Roman" w:cs="Times New Roman"/>
          <w:sz w:val="10"/>
          <w:szCs w:val="10"/>
        </w:rPr>
        <w:t>Бас директордың экономика және қаржы жөніндегі орынбасары</w:t>
      </w:r>
      <w:r w:rsidRPr="00AB3060">
        <w:rPr>
          <w:rFonts w:ascii="Times New Roman" w:hAnsi="Times New Roman" w:cs="Times New Roman"/>
          <w:sz w:val="10"/>
          <w:szCs w:val="10"/>
        </w:rPr>
        <w:tab/>
        <w:t xml:space="preserve">С. Б. Шабдукаримов </w:t>
      </w:r>
      <w:r w:rsidRPr="00AB3060">
        <w:rPr>
          <w:rFonts w:ascii="Times New Roman" w:hAnsi="Times New Roman" w:cs="Times New Roman"/>
          <w:sz w:val="10"/>
          <w:szCs w:val="10"/>
        </w:rPr>
        <w:tab/>
      </w:r>
    </w:p>
    <w:p w:rsidR="00832920" w:rsidRPr="00AB3060" w:rsidRDefault="0071257B" w:rsidP="00AB3060">
      <w:pPr>
        <w:rPr>
          <w:rFonts w:ascii="Times New Roman" w:hAnsi="Times New Roman" w:cs="Times New Roman"/>
          <w:sz w:val="10"/>
          <w:szCs w:val="10"/>
        </w:rPr>
      </w:pPr>
      <w:r w:rsidRPr="00AB3060">
        <w:rPr>
          <w:rFonts w:ascii="Times New Roman" w:hAnsi="Times New Roman" w:cs="Times New Roman"/>
          <w:sz w:val="10"/>
          <w:szCs w:val="10"/>
        </w:rPr>
        <w:t>Күні «14&gt;&gt; желтоқсан 2016 жыл</w:t>
      </w:r>
    </w:p>
    <w:sectPr w:rsidR="00832920" w:rsidRPr="00AB3060">
      <w:pgSz w:w="16840" w:h="11900" w:orient="landscape"/>
      <w:pgMar w:top="474" w:right="1261" w:bottom="34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B0" w:rsidRDefault="003F61B0">
      <w:r>
        <w:separator/>
      </w:r>
    </w:p>
  </w:endnote>
  <w:endnote w:type="continuationSeparator" w:id="0">
    <w:p w:rsidR="003F61B0" w:rsidRDefault="003F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B0" w:rsidRDefault="003F61B0"/>
  </w:footnote>
  <w:footnote w:type="continuationSeparator" w:id="0">
    <w:p w:rsidR="003F61B0" w:rsidRDefault="003F61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20"/>
    <w:rsid w:val="001213CC"/>
    <w:rsid w:val="003F61B0"/>
    <w:rsid w:val="0071257B"/>
    <w:rsid w:val="007655A5"/>
    <w:rsid w:val="00832920"/>
    <w:rsid w:val="00AB3060"/>
    <w:rsid w:val="00B7531F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5D6E5"/>
  <w15:docId w15:val="{333D4220-9FFA-4923-AC6D-EDBDD2B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kk-KZ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MSReferenceSansSerif5pt">
    <w:name w:val="Основной текст (2) + MS Reference Sans Serif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kk-KZ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MSReferenceSansSerif5pt">
    <w:name w:val="Основной текст (3) + MS Reference Sans Serif;5 pt"/>
    <w:basedOn w:val="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kk-KZ" w:eastAsia="ru-RU" w:bidi="ru-RU"/>
    </w:rPr>
  </w:style>
  <w:style w:type="character" w:customStyle="1" w:styleId="a4">
    <w:name w:val="Подпись к таблице_"/>
    <w:basedOn w:val="a0"/>
    <w:link w:val="a5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MSReferenceSansSerif5pt">
    <w:name w:val="Подпись к таблице + MS Reference Sans Serif;5 pt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kk-KZ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kk-KZ" w:eastAsia="ru-RU" w:bidi="ru-RU"/>
    </w:rPr>
  </w:style>
  <w:style w:type="character" w:customStyle="1" w:styleId="2MSReferenceSansSerif5pt0">
    <w:name w:val="Основной текст (2) + MS Reference Sans Serif;5 pt;Полужирный"/>
    <w:basedOn w:val="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kk-KZ" w:eastAsia="ru-RU" w:bidi="ru-RU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ru-RU" w:bidi="ru-RU"/>
    </w:rPr>
  </w:style>
  <w:style w:type="character" w:customStyle="1" w:styleId="5MSReferenceSansSerif4pt">
    <w:name w:val="Основной текст (5) + MS Reference Sans Serif;4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kk-KZ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  <w:lang w:val="kk-KZ" w:eastAsia="en-US" w:bidi="en-US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kk-KZ" w:eastAsia="en-US" w:bidi="en-US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kk-KZ" w:eastAsia="en-US" w:bidi="en-US"/>
    </w:rPr>
  </w:style>
  <w:style w:type="character" w:customStyle="1" w:styleId="121">
    <w:name w:val="Заголовок №1 (2)"/>
    <w:basedOn w:val="1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kk-KZ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37" w:lineRule="exact"/>
      <w:jc w:val="right"/>
    </w:pPr>
    <w:rPr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b/>
      <w:bCs/>
      <w:sz w:val="11"/>
      <w:szCs w:val="1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97" w:lineRule="exact"/>
    </w:pPr>
    <w:rPr>
      <w:rFonts w:ascii="Consolas" w:eastAsia="Consolas" w:hAnsi="Consolas" w:cs="Consolas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97" w:lineRule="exact"/>
    </w:pPr>
    <w:rPr>
      <w:rFonts w:ascii="Book Antiqua" w:eastAsia="Book Antiqua" w:hAnsi="Book Antiqua" w:cs="Book Antiqua"/>
      <w:sz w:val="14"/>
      <w:szCs w:val="14"/>
      <w:lang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180" w:line="0" w:lineRule="atLeast"/>
      <w:outlineLvl w:val="0"/>
    </w:pPr>
    <w:rPr>
      <w:rFonts w:ascii="Consolas" w:eastAsia="Consolas" w:hAnsi="Consolas" w:cs="Consolas"/>
      <w:spacing w:val="-10"/>
      <w:sz w:val="17"/>
      <w:szCs w:val="17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AB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060"/>
    <w:rPr>
      <w:color w:val="000000"/>
    </w:rPr>
  </w:style>
  <w:style w:type="paragraph" w:styleId="a8">
    <w:name w:val="footer"/>
    <w:basedOn w:val="a"/>
    <w:link w:val="a9"/>
    <w:uiPriority w:val="99"/>
    <w:unhideWhenUsed/>
    <w:rsid w:val="00AB30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060"/>
    <w:rPr>
      <w:color w:val="000000"/>
    </w:rPr>
  </w:style>
  <w:style w:type="paragraph" w:styleId="aa">
    <w:name w:val="No Spacing"/>
    <w:uiPriority w:val="1"/>
    <w:qFormat/>
    <w:rsid w:val="00AB30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Daniyar Muratbayev &lt;DCT&gt;</cp:lastModifiedBy>
  <cp:revision>6</cp:revision>
  <dcterms:created xsi:type="dcterms:W3CDTF">2018-02-06T11:19:00Z</dcterms:created>
  <dcterms:modified xsi:type="dcterms:W3CDTF">2018-02-12T08:59:00Z</dcterms:modified>
</cp:coreProperties>
</file>