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9D" w:rsidRPr="004923B3" w:rsidRDefault="00D84A9D" w:rsidP="004923B3">
      <w:pPr>
        <w:pStyle w:val="BodyText"/>
        <w:tabs>
          <w:tab w:val="num" w:pos="180"/>
        </w:tabs>
        <w:spacing w:after="0"/>
        <w:ind w:firstLine="567"/>
        <w:jc w:val="center"/>
        <w:rPr>
          <w:b/>
          <w:bCs/>
          <w:sz w:val="20"/>
          <w:szCs w:val="20"/>
        </w:rPr>
      </w:pPr>
      <w:r>
        <w:rPr>
          <w:b/>
          <w:bCs/>
          <w:sz w:val="20"/>
          <w:szCs w:val="20"/>
        </w:rPr>
        <w:t>Tariff estimate execution of Beineu-Shymkent Gas Pipeline Beineu-Shymkent Gas Pipeline LLP for 2015</w:t>
      </w:r>
    </w:p>
    <w:p w:rsidR="00D84A9D" w:rsidRPr="004923B3" w:rsidRDefault="00D84A9D" w:rsidP="00D84A9D">
      <w:pPr>
        <w:pStyle w:val="BodyText"/>
        <w:tabs>
          <w:tab w:val="num" w:pos="180"/>
        </w:tabs>
        <w:spacing w:after="0"/>
        <w:ind w:firstLine="567"/>
        <w:jc w:val="both"/>
        <w:rPr>
          <w:b/>
          <w:sz w:val="20"/>
          <w:szCs w:val="20"/>
        </w:rPr>
      </w:pPr>
    </w:p>
    <w:tbl>
      <w:tblPr>
        <w:tblW w:w="138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757"/>
        <w:gridCol w:w="1197"/>
        <w:gridCol w:w="2043"/>
        <w:gridCol w:w="1701"/>
        <w:gridCol w:w="1559"/>
        <w:gridCol w:w="3969"/>
      </w:tblGrid>
      <w:tr w:rsidR="00D84A9D" w:rsidRPr="004923B3" w:rsidTr="000331B4">
        <w:trPr>
          <w:trHeight w:val="345"/>
        </w:trPr>
        <w:tc>
          <w:tcPr>
            <w:tcW w:w="671" w:type="dxa"/>
            <w:vMerge w:val="restart"/>
            <w:shd w:val="clear" w:color="auto" w:fill="auto"/>
            <w:vAlign w:val="center"/>
            <w:hideMark/>
          </w:tcPr>
          <w:p w:rsidR="00D84A9D" w:rsidRPr="004923B3" w:rsidRDefault="00D84A9D" w:rsidP="00D84A9D">
            <w:pPr>
              <w:spacing w:after="0" w:line="240" w:lineRule="auto"/>
              <w:jc w:val="center"/>
              <w:rPr>
                <w:rFonts w:ascii="Times New Roman" w:eastAsia="Times New Roman" w:hAnsi="Times New Roman"/>
                <w:b/>
                <w:bCs/>
                <w:sz w:val="20"/>
                <w:szCs w:val="20"/>
              </w:rPr>
            </w:pPr>
            <w:bookmarkStart w:id="0" w:name="_GoBack" w:colFirst="3" w:colLast="4"/>
            <w:r>
              <w:rPr>
                <w:rFonts w:ascii="Times New Roman" w:hAnsi="Times New Roman"/>
                <w:b/>
                <w:bCs/>
                <w:sz w:val="20"/>
                <w:szCs w:val="20"/>
              </w:rPr>
              <w:t>No.</w:t>
            </w:r>
          </w:p>
        </w:tc>
        <w:tc>
          <w:tcPr>
            <w:tcW w:w="2757" w:type="dxa"/>
            <w:vMerge w:val="restart"/>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Indicator title</w:t>
            </w:r>
          </w:p>
        </w:tc>
        <w:tc>
          <w:tcPr>
            <w:tcW w:w="1197" w:type="dxa"/>
            <w:vMerge w:val="restart"/>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proofErr w:type="spellStart"/>
            <w:r>
              <w:rPr>
                <w:rFonts w:ascii="Times New Roman" w:hAnsi="Times New Roman"/>
                <w:b/>
                <w:bCs/>
                <w:sz w:val="20"/>
                <w:szCs w:val="20"/>
              </w:rPr>
              <w:t>UoM</w:t>
            </w:r>
            <w:proofErr w:type="spellEnd"/>
          </w:p>
        </w:tc>
        <w:tc>
          <w:tcPr>
            <w:tcW w:w="2043" w:type="dxa"/>
            <w:vMerge w:val="restart"/>
            <w:shd w:val="clear" w:color="auto" w:fill="auto"/>
            <w:vAlign w:val="center"/>
            <w:hideMark/>
          </w:tcPr>
          <w:p w:rsidR="00D84A9D" w:rsidRPr="004923B3" w:rsidRDefault="00A439A6"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 xml:space="preserve">In the current tariff estimate </w:t>
            </w:r>
          </w:p>
        </w:tc>
        <w:tc>
          <w:tcPr>
            <w:tcW w:w="1701" w:type="dxa"/>
            <w:vMerge w:val="restart"/>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 xml:space="preserve">Actual expenses for 2015 </w:t>
            </w:r>
          </w:p>
        </w:tc>
        <w:tc>
          <w:tcPr>
            <w:tcW w:w="1559" w:type="dxa"/>
            <w:vMerge w:val="restart"/>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Deviation, %</w:t>
            </w:r>
          </w:p>
        </w:tc>
        <w:tc>
          <w:tcPr>
            <w:tcW w:w="3969" w:type="dxa"/>
            <w:vMerge w:val="restart"/>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lang w:eastAsia="ru-RU"/>
              </w:rPr>
            </w:pPr>
          </w:p>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 xml:space="preserve">Justifications of </w:t>
            </w:r>
          </w:p>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deviation</w:t>
            </w:r>
          </w:p>
          <w:p w:rsidR="00D84A9D" w:rsidRPr="004923B3" w:rsidRDefault="00D84A9D" w:rsidP="00347DD5">
            <w:pPr>
              <w:spacing w:after="0" w:line="240" w:lineRule="auto"/>
              <w:jc w:val="center"/>
              <w:rPr>
                <w:rFonts w:ascii="Times New Roman" w:eastAsia="Times New Roman" w:hAnsi="Times New Roman"/>
                <w:b/>
                <w:bCs/>
                <w:sz w:val="20"/>
                <w:szCs w:val="20"/>
                <w:lang w:eastAsia="ru-RU"/>
              </w:rPr>
            </w:pPr>
          </w:p>
        </w:tc>
      </w:tr>
      <w:tr w:rsidR="00D84A9D" w:rsidRPr="004923B3" w:rsidTr="000331B4">
        <w:trPr>
          <w:trHeight w:val="831"/>
        </w:trPr>
        <w:tc>
          <w:tcPr>
            <w:tcW w:w="671" w:type="dxa"/>
            <w:vMerge/>
            <w:vAlign w:val="center"/>
            <w:hideMark/>
          </w:tcPr>
          <w:p w:rsidR="00D84A9D" w:rsidRPr="004923B3" w:rsidRDefault="00D84A9D" w:rsidP="00347DD5">
            <w:pPr>
              <w:spacing w:after="0" w:line="240" w:lineRule="auto"/>
              <w:rPr>
                <w:rFonts w:ascii="Times New Roman" w:eastAsia="Times New Roman" w:hAnsi="Times New Roman"/>
                <w:b/>
                <w:bCs/>
                <w:sz w:val="20"/>
                <w:szCs w:val="20"/>
                <w:lang w:eastAsia="ru-RU"/>
              </w:rPr>
            </w:pPr>
          </w:p>
        </w:tc>
        <w:tc>
          <w:tcPr>
            <w:tcW w:w="2757" w:type="dxa"/>
            <w:vMerge/>
            <w:vAlign w:val="center"/>
            <w:hideMark/>
          </w:tcPr>
          <w:p w:rsidR="00D84A9D" w:rsidRPr="004923B3" w:rsidRDefault="00D84A9D" w:rsidP="00347DD5">
            <w:pPr>
              <w:spacing w:after="0" w:line="240" w:lineRule="auto"/>
              <w:rPr>
                <w:rFonts w:ascii="Times New Roman" w:eastAsia="Times New Roman" w:hAnsi="Times New Roman"/>
                <w:b/>
                <w:bCs/>
                <w:sz w:val="20"/>
                <w:szCs w:val="20"/>
                <w:lang w:eastAsia="ru-RU"/>
              </w:rPr>
            </w:pPr>
          </w:p>
        </w:tc>
        <w:tc>
          <w:tcPr>
            <w:tcW w:w="1197" w:type="dxa"/>
            <w:vMerge/>
            <w:vAlign w:val="center"/>
            <w:hideMark/>
          </w:tcPr>
          <w:p w:rsidR="00D84A9D" w:rsidRPr="004923B3" w:rsidRDefault="00D84A9D" w:rsidP="00347DD5">
            <w:pPr>
              <w:spacing w:after="0" w:line="240" w:lineRule="auto"/>
              <w:rPr>
                <w:rFonts w:ascii="Times New Roman" w:eastAsia="Times New Roman" w:hAnsi="Times New Roman"/>
                <w:b/>
                <w:bCs/>
                <w:sz w:val="20"/>
                <w:szCs w:val="20"/>
                <w:lang w:eastAsia="ru-RU"/>
              </w:rPr>
            </w:pPr>
          </w:p>
        </w:tc>
        <w:tc>
          <w:tcPr>
            <w:tcW w:w="2043" w:type="dxa"/>
            <w:vMerge/>
            <w:vAlign w:val="center"/>
            <w:hideMark/>
          </w:tcPr>
          <w:p w:rsidR="00D84A9D" w:rsidRPr="004923B3" w:rsidRDefault="00D84A9D" w:rsidP="00347DD5">
            <w:pPr>
              <w:spacing w:after="0" w:line="240" w:lineRule="auto"/>
              <w:rPr>
                <w:rFonts w:ascii="Times New Roman" w:eastAsia="Times New Roman" w:hAnsi="Times New Roman"/>
                <w:b/>
                <w:bCs/>
                <w:sz w:val="20"/>
                <w:szCs w:val="20"/>
                <w:lang w:eastAsia="ru-RU"/>
              </w:rPr>
            </w:pPr>
          </w:p>
        </w:tc>
        <w:tc>
          <w:tcPr>
            <w:tcW w:w="1701" w:type="dxa"/>
            <w:vMerge/>
            <w:vAlign w:val="center"/>
            <w:hideMark/>
          </w:tcPr>
          <w:p w:rsidR="00D84A9D" w:rsidRPr="004923B3" w:rsidRDefault="00D84A9D" w:rsidP="00347DD5">
            <w:pPr>
              <w:spacing w:after="0" w:line="240" w:lineRule="auto"/>
              <w:rPr>
                <w:rFonts w:ascii="Times New Roman" w:eastAsia="Times New Roman" w:hAnsi="Times New Roman"/>
                <w:b/>
                <w:bCs/>
                <w:sz w:val="20"/>
                <w:szCs w:val="20"/>
                <w:lang w:eastAsia="ru-RU"/>
              </w:rPr>
            </w:pPr>
          </w:p>
        </w:tc>
        <w:tc>
          <w:tcPr>
            <w:tcW w:w="1559" w:type="dxa"/>
            <w:vMerge/>
            <w:vAlign w:val="center"/>
            <w:hideMark/>
          </w:tcPr>
          <w:p w:rsidR="00D84A9D" w:rsidRPr="004923B3" w:rsidRDefault="00D84A9D" w:rsidP="00347DD5">
            <w:pPr>
              <w:spacing w:after="0" w:line="240" w:lineRule="auto"/>
              <w:rPr>
                <w:rFonts w:ascii="Times New Roman" w:eastAsia="Times New Roman" w:hAnsi="Times New Roman"/>
                <w:b/>
                <w:bCs/>
                <w:sz w:val="20"/>
                <w:szCs w:val="20"/>
                <w:lang w:eastAsia="ru-RU"/>
              </w:rPr>
            </w:pPr>
          </w:p>
        </w:tc>
        <w:tc>
          <w:tcPr>
            <w:tcW w:w="3969" w:type="dxa"/>
            <w:vMerge/>
            <w:vAlign w:val="center"/>
            <w:hideMark/>
          </w:tcPr>
          <w:p w:rsidR="00D84A9D" w:rsidRPr="004923B3" w:rsidRDefault="00D84A9D" w:rsidP="00347DD5">
            <w:pPr>
              <w:spacing w:after="0" w:line="240" w:lineRule="auto"/>
              <w:rPr>
                <w:rFonts w:ascii="Times New Roman" w:eastAsia="Times New Roman" w:hAnsi="Times New Roman"/>
                <w:b/>
                <w:bCs/>
                <w:sz w:val="20"/>
                <w:szCs w:val="20"/>
                <w:lang w:eastAsia="ru-RU"/>
              </w:rPr>
            </w:pPr>
          </w:p>
        </w:tc>
      </w:tr>
      <w:tr w:rsidR="00D84A9D"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w:t>
            </w:r>
          </w:p>
        </w:tc>
        <w:tc>
          <w:tcPr>
            <w:tcW w:w="275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2</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3</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4</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5</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6</w:t>
            </w:r>
          </w:p>
        </w:tc>
        <w:tc>
          <w:tcPr>
            <w:tcW w:w="396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w:t>
            </w:r>
          </w:p>
        </w:tc>
      </w:tr>
      <w:tr w:rsidR="00D84A9D" w:rsidRPr="004923B3" w:rsidTr="000331B4">
        <w:trPr>
          <w:trHeight w:val="58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I</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Cost of production goods and services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thous. KZT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11</w:t>
            </w:r>
            <w:r w:rsidR="00F7539A">
              <w:rPr>
                <w:rFonts w:ascii="Times New Roman" w:hAnsi="Times New Roman"/>
                <w:b/>
                <w:bCs/>
                <w:sz w:val="20"/>
                <w:szCs w:val="20"/>
              </w:rPr>
              <w:t xml:space="preserve"> </w:t>
            </w:r>
            <w:r>
              <w:rPr>
                <w:rFonts w:ascii="Times New Roman" w:hAnsi="Times New Roman"/>
                <w:b/>
                <w:bCs/>
                <w:sz w:val="20"/>
                <w:szCs w:val="20"/>
              </w:rPr>
              <w:t>396</w:t>
            </w:r>
            <w:r w:rsidR="00F7539A">
              <w:rPr>
                <w:rFonts w:ascii="Times New Roman" w:hAnsi="Times New Roman"/>
                <w:b/>
                <w:bCs/>
                <w:sz w:val="20"/>
                <w:szCs w:val="20"/>
              </w:rPr>
              <w:t xml:space="preserve"> </w:t>
            </w:r>
            <w:r>
              <w:rPr>
                <w:rFonts w:ascii="Times New Roman" w:hAnsi="Times New Roman"/>
                <w:b/>
                <w:bCs/>
                <w:sz w:val="20"/>
                <w:szCs w:val="20"/>
              </w:rPr>
              <w:t>138</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11</w:t>
            </w:r>
            <w:r w:rsidR="00F7539A">
              <w:rPr>
                <w:rFonts w:ascii="Times New Roman" w:hAnsi="Times New Roman"/>
                <w:b/>
                <w:bCs/>
                <w:sz w:val="20"/>
                <w:szCs w:val="20"/>
              </w:rPr>
              <w:t xml:space="preserve"> </w:t>
            </w:r>
            <w:r>
              <w:rPr>
                <w:rFonts w:ascii="Times New Roman" w:hAnsi="Times New Roman"/>
                <w:b/>
                <w:bCs/>
                <w:sz w:val="20"/>
                <w:szCs w:val="20"/>
              </w:rPr>
              <w:t>186</w:t>
            </w:r>
            <w:r w:rsidR="00F7539A">
              <w:rPr>
                <w:rFonts w:ascii="Times New Roman" w:hAnsi="Times New Roman"/>
                <w:b/>
                <w:bCs/>
                <w:sz w:val="20"/>
                <w:szCs w:val="20"/>
              </w:rPr>
              <w:t xml:space="preserve"> </w:t>
            </w:r>
            <w:r>
              <w:rPr>
                <w:rFonts w:ascii="Times New Roman" w:hAnsi="Times New Roman"/>
                <w:b/>
                <w:bCs/>
                <w:sz w:val="20"/>
                <w:szCs w:val="20"/>
              </w:rPr>
              <w:t>706</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98%</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w:t>
            </w:r>
          </w:p>
        </w:tc>
      </w:tr>
      <w:tr w:rsidR="00D84A9D" w:rsidRPr="004923B3" w:rsidTr="000331B4">
        <w:trPr>
          <w:trHeight w:val="30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Material costs, total</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339</w:t>
            </w:r>
            <w:r w:rsidR="00F7539A">
              <w:rPr>
                <w:rFonts w:ascii="Times New Roman" w:hAnsi="Times New Roman"/>
                <w:b/>
                <w:bCs/>
                <w:sz w:val="20"/>
                <w:szCs w:val="20"/>
              </w:rPr>
              <w:t xml:space="preserve"> </w:t>
            </w:r>
            <w:r>
              <w:rPr>
                <w:rFonts w:ascii="Times New Roman" w:hAnsi="Times New Roman"/>
                <w:b/>
                <w:bCs/>
                <w:sz w:val="20"/>
                <w:szCs w:val="20"/>
              </w:rPr>
              <w:t>349</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110</w:t>
            </w:r>
            <w:r w:rsidR="00F7539A">
              <w:rPr>
                <w:rFonts w:ascii="Times New Roman" w:hAnsi="Times New Roman"/>
                <w:b/>
                <w:bCs/>
                <w:sz w:val="20"/>
                <w:szCs w:val="20"/>
              </w:rPr>
              <w:t xml:space="preserve"> </w:t>
            </w:r>
            <w:r>
              <w:rPr>
                <w:rFonts w:ascii="Times New Roman" w:hAnsi="Times New Roman"/>
                <w:b/>
                <w:bCs/>
                <w:sz w:val="20"/>
                <w:szCs w:val="20"/>
              </w:rPr>
              <w:t>098</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32%</w:t>
            </w:r>
          </w:p>
        </w:tc>
        <w:tc>
          <w:tcPr>
            <w:tcW w:w="3969" w:type="dxa"/>
            <w:shd w:val="clear" w:color="auto" w:fill="auto"/>
            <w:vAlign w:val="center"/>
            <w:hideMark/>
          </w:tcPr>
          <w:p w:rsidR="00D84A9D" w:rsidRPr="004923B3" w:rsidRDefault="00D84A9D" w:rsidP="00347DD5">
            <w:pPr>
              <w:spacing w:after="0" w:line="240" w:lineRule="auto"/>
              <w:jc w:val="right"/>
              <w:rPr>
                <w:rFonts w:ascii="Times New Roman" w:eastAsia="Times New Roman" w:hAnsi="Times New Roman"/>
                <w:b/>
                <w:bCs/>
                <w:sz w:val="20"/>
                <w:szCs w:val="20"/>
              </w:rPr>
            </w:pPr>
            <w:r>
              <w:rPr>
                <w:rFonts w:ascii="Times New Roman" w:hAnsi="Times New Roman"/>
                <w:b/>
                <w:bCs/>
                <w:sz w:val="20"/>
                <w:szCs w:val="20"/>
              </w:rPr>
              <w:t> </w:t>
            </w:r>
          </w:p>
        </w:tc>
      </w:tr>
      <w:tr w:rsidR="00D84A9D"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 </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Including:</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 </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jc w:val="right"/>
              <w:rPr>
                <w:rFonts w:ascii="Times New Roman" w:eastAsia="Times New Roman" w:hAnsi="Times New Roman"/>
                <w:sz w:val="20"/>
                <w:szCs w:val="20"/>
              </w:rPr>
            </w:pPr>
            <w:r>
              <w:rPr>
                <w:rFonts w:ascii="Times New Roman" w:hAnsi="Times New Roman"/>
                <w:sz w:val="20"/>
                <w:szCs w:val="20"/>
              </w:rPr>
              <w:t> </w:t>
            </w:r>
          </w:p>
        </w:tc>
      </w:tr>
      <w:tr w:rsidR="00D84A9D" w:rsidRPr="004923B3" w:rsidTr="000331B4">
        <w:trPr>
          <w:trHeight w:val="157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1. 1</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Gas for own demands and losses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331</w:t>
            </w:r>
            <w:r w:rsidR="00F7539A">
              <w:rPr>
                <w:rFonts w:ascii="Times New Roman" w:hAnsi="Times New Roman"/>
                <w:sz w:val="20"/>
                <w:szCs w:val="20"/>
              </w:rPr>
              <w:t xml:space="preserve"> </w:t>
            </w:r>
            <w:r>
              <w:rPr>
                <w:rFonts w:ascii="Times New Roman" w:hAnsi="Times New Roman"/>
                <w:sz w:val="20"/>
                <w:szCs w:val="20"/>
              </w:rPr>
              <w:t>982</w:t>
            </w:r>
          </w:p>
        </w:tc>
        <w:tc>
          <w:tcPr>
            <w:tcW w:w="1701" w:type="dxa"/>
            <w:shd w:val="clear" w:color="auto" w:fill="auto"/>
            <w:vAlign w:val="center"/>
            <w:hideMark/>
          </w:tcPr>
          <w:p w:rsidR="00D84A9D" w:rsidRPr="004923B3" w:rsidRDefault="00D84A9D" w:rsidP="00347DD5">
            <w:pPr>
              <w:spacing w:after="0" w:line="240" w:lineRule="auto"/>
              <w:jc w:val="right"/>
              <w:rPr>
                <w:rFonts w:ascii="Times New Roman" w:eastAsia="Times New Roman" w:hAnsi="Times New Roman"/>
                <w:sz w:val="20"/>
                <w:szCs w:val="20"/>
              </w:rPr>
            </w:pPr>
            <w:r>
              <w:rPr>
                <w:rFonts w:ascii="Times New Roman" w:hAnsi="Times New Roman"/>
                <w:sz w:val="20"/>
                <w:szCs w:val="20"/>
              </w:rPr>
              <w:t>104</w:t>
            </w:r>
            <w:r w:rsidR="00F7539A">
              <w:rPr>
                <w:rFonts w:ascii="Times New Roman" w:hAnsi="Times New Roman"/>
                <w:sz w:val="20"/>
                <w:szCs w:val="20"/>
              </w:rPr>
              <w:t xml:space="preserve"> </w:t>
            </w:r>
            <w:r>
              <w:rPr>
                <w:rFonts w:ascii="Times New Roman" w:hAnsi="Times New Roman"/>
                <w:sz w:val="20"/>
                <w:szCs w:val="20"/>
              </w:rPr>
              <w:t>350</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31%</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Cs/>
                <w:sz w:val="20"/>
                <w:szCs w:val="20"/>
              </w:rPr>
            </w:pPr>
            <w:r>
              <w:rPr>
                <w:rFonts w:ascii="Times New Roman" w:hAnsi="Times New Roman"/>
                <w:bCs/>
                <w:sz w:val="20"/>
                <w:szCs w:val="20"/>
              </w:rPr>
              <w:t xml:space="preserve">Savings occurred due to reduction in cost and volume of gas for OD&amp;PL (hereinafter OD&amp;PL). </w:t>
            </w:r>
          </w:p>
          <w:p w:rsidR="00D84A9D" w:rsidRPr="004923B3" w:rsidRDefault="00D84A9D" w:rsidP="00347DD5">
            <w:pPr>
              <w:spacing w:after="0" w:line="240" w:lineRule="auto"/>
              <w:rPr>
                <w:rFonts w:ascii="Times New Roman" w:eastAsia="Times New Roman" w:hAnsi="Times New Roman"/>
                <w:bCs/>
                <w:sz w:val="20"/>
                <w:szCs w:val="20"/>
              </w:rPr>
            </w:pPr>
            <w:r>
              <w:rPr>
                <w:rFonts w:ascii="Times New Roman" w:hAnsi="Times New Roman"/>
                <w:bCs/>
                <w:sz w:val="20"/>
                <w:szCs w:val="20"/>
              </w:rPr>
              <w:t>The approved tariff estimate includes the cost of gas purchase for OD&amp;PL which is planned in the amount of  9 180 KZT exclusive of VAT for thous.</w:t>
            </w:r>
            <w:r w:rsidR="00B1781F">
              <w:rPr>
                <w:rFonts w:ascii="Times New Roman" w:hAnsi="Times New Roman"/>
                <w:bCs/>
                <w:sz w:val="20"/>
                <w:szCs w:val="20"/>
              </w:rPr>
              <w:t>m</w:t>
            </w:r>
            <w:r>
              <w:rPr>
                <w:rFonts w:ascii="Times New Roman" w:hAnsi="Times New Roman"/>
                <w:bCs/>
                <w:sz w:val="20"/>
                <w:szCs w:val="20"/>
              </w:rPr>
              <w:t xml:space="preserve">3, and the actual cost of gas since January 01 to August 31 made 5 598,6 KZT for thous.3m exclusive of VAT and from September 01 to December 31 - 5 696,1 KZT for thous.3m exclusive of VAT) </w:t>
            </w:r>
          </w:p>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Gas consumption volume for OD&amp;PL was scheduled based on gas transportation volume in the amount of  2 500 000 thous.</w:t>
            </w:r>
            <w:r w:rsidR="00B1781F">
              <w:rPr>
                <w:rFonts w:ascii="Times New Roman" w:hAnsi="Times New Roman"/>
                <w:sz w:val="20"/>
                <w:szCs w:val="20"/>
              </w:rPr>
              <w:t>m</w:t>
            </w:r>
            <w:r>
              <w:rPr>
                <w:rFonts w:ascii="Times New Roman" w:hAnsi="Times New Roman"/>
                <w:sz w:val="20"/>
                <w:szCs w:val="20"/>
              </w:rPr>
              <w:t>3, the actual gas transportation volume in 2015 made1 215 926 thous.</w:t>
            </w:r>
            <w:r w:rsidR="00C01D1A">
              <w:rPr>
                <w:rFonts w:ascii="Times New Roman" w:hAnsi="Times New Roman"/>
                <w:sz w:val="20"/>
                <w:szCs w:val="20"/>
              </w:rPr>
              <w:t>m</w:t>
            </w:r>
            <w:r>
              <w:rPr>
                <w:rFonts w:ascii="Times New Roman" w:hAnsi="Times New Roman"/>
                <w:sz w:val="20"/>
                <w:szCs w:val="20"/>
              </w:rPr>
              <w:t xml:space="preserve">3; </w:t>
            </w:r>
          </w:p>
          <w:p w:rsidR="00D84A9D" w:rsidRPr="004923B3" w:rsidRDefault="00D84A9D" w:rsidP="00347DD5">
            <w:pPr>
              <w:spacing w:after="0" w:line="240" w:lineRule="auto"/>
              <w:rPr>
                <w:rFonts w:ascii="Times New Roman" w:eastAsia="Times New Roman" w:hAnsi="Times New Roman"/>
                <w:sz w:val="20"/>
                <w:szCs w:val="20"/>
                <w:lang w:eastAsia="ru-RU"/>
              </w:rPr>
            </w:pPr>
          </w:p>
        </w:tc>
      </w:tr>
      <w:tr w:rsidR="00D84A9D" w:rsidRPr="004923B3" w:rsidTr="000331B4">
        <w:trPr>
          <w:trHeight w:val="630"/>
        </w:trPr>
        <w:tc>
          <w:tcPr>
            <w:tcW w:w="671"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1. 2.</w:t>
            </w:r>
          </w:p>
        </w:tc>
        <w:tc>
          <w:tcPr>
            <w:tcW w:w="2757" w:type="dxa"/>
            <w:shd w:val="clear" w:color="auto" w:fill="auto"/>
            <w:vAlign w:val="center"/>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Electric power</w:t>
            </w:r>
          </w:p>
        </w:tc>
        <w:tc>
          <w:tcPr>
            <w:tcW w:w="1197"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2</w:t>
            </w:r>
            <w:r w:rsidR="00F7539A">
              <w:rPr>
                <w:rFonts w:ascii="Times New Roman" w:hAnsi="Times New Roman"/>
                <w:sz w:val="20"/>
                <w:szCs w:val="20"/>
              </w:rPr>
              <w:t xml:space="preserve"> </w:t>
            </w:r>
            <w:r>
              <w:rPr>
                <w:rFonts w:ascii="Times New Roman" w:hAnsi="Times New Roman"/>
                <w:sz w:val="20"/>
                <w:szCs w:val="20"/>
              </w:rPr>
              <w:t>935</w:t>
            </w:r>
          </w:p>
        </w:tc>
        <w:tc>
          <w:tcPr>
            <w:tcW w:w="1701"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0</w:t>
            </w:r>
          </w:p>
        </w:tc>
        <w:tc>
          <w:tcPr>
            <w:tcW w:w="1559"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0%</w:t>
            </w:r>
          </w:p>
        </w:tc>
        <w:tc>
          <w:tcPr>
            <w:tcW w:w="3969" w:type="dxa"/>
            <w:shd w:val="clear" w:color="auto" w:fill="auto"/>
            <w:vAlign w:val="center"/>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Due to untimely commissioning of emergency response centers and shift camps, there was no need to spent money for electric power.</w:t>
            </w:r>
          </w:p>
        </w:tc>
      </w:tr>
      <w:tr w:rsidR="00D84A9D" w:rsidRPr="004923B3" w:rsidTr="000331B4">
        <w:trPr>
          <w:trHeight w:val="63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1. 3</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Fuel and POL</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4</w:t>
            </w:r>
            <w:r w:rsidR="00F7539A">
              <w:rPr>
                <w:rFonts w:ascii="Times New Roman" w:hAnsi="Times New Roman"/>
                <w:sz w:val="20"/>
                <w:szCs w:val="20"/>
              </w:rPr>
              <w:t xml:space="preserve"> </w:t>
            </w:r>
            <w:r>
              <w:rPr>
                <w:rFonts w:ascii="Times New Roman" w:hAnsi="Times New Roman"/>
                <w:sz w:val="20"/>
                <w:szCs w:val="20"/>
              </w:rPr>
              <w:t>431</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5</w:t>
            </w:r>
            <w:r w:rsidR="00F7539A">
              <w:rPr>
                <w:rFonts w:ascii="Times New Roman" w:hAnsi="Times New Roman"/>
                <w:sz w:val="20"/>
                <w:szCs w:val="20"/>
              </w:rPr>
              <w:t xml:space="preserve"> </w:t>
            </w:r>
            <w:r>
              <w:rPr>
                <w:rFonts w:ascii="Times New Roman" w:hAnsi="Times New Roman"/>
                <w:sz w:val="20"/>
                <w:szCs w:val="20"/>
              </w:rPr>
              <w:t>748</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130%</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Over execution has occurred due to increase of fuel cost (POL). </w:t>
            </w:r>
          </w:p>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The cost of fuel in the current tariff estimate makes 103 KZT for 1 liter, the actual average POL write-off cost made 110 KZT for 1 liter.</w:t>
            </w:r>
          </w:p>
        </w:tc>
      </w:tr>
      <w:tr w:rsidR="00D84A9D" w:rsidRPr="004923B3" w:rsidTr="000331B4">
        <w:trPr>
          <w:trHeight w:val="39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lastRenderedPageBreak/>
              <w:t>2</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Costs for labor payment, total</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63</w:t>
            </w:r>
            <w:r w:rsidR="00F7539A">
              <w:rPr>
                <w:rFonts w:ascii="Times New Roman" w:hAnsi="Times New Roman"/>
                <w:b/>
                <w:bCs/>
                <w:sz w:val="20"/>
                <w:szCs w:val="20"/>
              </w:rPr>
              <w:t xml:space="preserve"> </w:t>
            </w:r>
            <w:r>
              <w:rPr>
                <w:rFonts w:ascii="Times New Roman" w:hAnsi="Times New Roman"/>
                <w:b/>
                <w:bCs/>
                <w:sz w:val="20"/>
                <w:szCs w:val="20"/>
              </w:rPr>
              <w:t>901</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61</w:t>
            </w:r>
            <w:r w:rsidR="00F7539A">
              <w:rPr>
                <w:rFonts w:ascii="Times New Roman" w:hAnsi="Times New Roman"/>
                <w:b/>
                <w:bCs/>
                <w:sz w:val="20"/>
                <w:szCs w:val="20"/>
              </w:rPr>
              <w:t xml:space="preserve"> </w:t>
            </w:r>
            <w:r>
              <w:rPr>
                <w:rFonts w:ascii="Times New Roman" w:hAnsi="Times New Roman"/>
                <w:b/>
                <w:bCs/>
                <w:sz w:val="20"/>
                <w:szCs w:val="20"/>
              </w:rPr>
              <w:t>269</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96%</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 </w:t>
            </w:r>
          </w:p>
        </w:tc>
      </w:tr>
      <w:tr w:rsidR="00D84A9D"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 </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Including:</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 </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jc w:val="right"/>
              <w:rPr>
                <w:rFonts w:ascii="Times New Roman" w:eastAsia="Times New Roman" w:hAnsi="Times New Roman"/>
                <w:sz w:val="20"/>
                <w:szCs w:val="20"/>
              </w:rPr>
            </w:pPr>
            <w:r>
              <w:rPr>
                <w:rFonts w:ascii="Times New Roman" w:hAnsi="Times New Roman"/>
                <w:sz w:val="20"/>
                <w:szCs w:val="20"/>
              </w:rPr>
              <w:t> </w:t>
            </w:r>
          </w:p>
        </w:tc>
      </w:tr>
      <w:tr w:rsidR="00D84A9D" w:rsidRPr="004923B3" w:rsidTr="000331B4">
        <w:trPr>
          <w:trHeight w:val="63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2. 1</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Salary </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58</w:t>
            </w:r>
            <w:r w:rsidR="00F7539A">
              <w:rPr>
                <w:rFonts w:ascii="Times New Roman" w:hAnsi="Times New Roman"/>
                <w:sz w:val="20"/>
                <w:szCs w:val="20"/>
              </w:rPr>
              <w:t xml:space="preserve"> </w:t>
            </w:r>
            <w:r>
              <w:rPr>
                <w:rFonts w:ascii="Times New Roman" w:hAnsi="Times New Roman"/>
                <w:sz w:val="20"/>
                <w:szCs w:val="20"/>
              </w:rPr>
              <w:t>144</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56</w:t>
            </w:r>
            <w:r w:rsidR="00F7539A">
              <w:rPr>
                <w:rFonts w:ascii="Times New Roman" w:hAnsi="Times New Roman"/>
                <w:sz w:val="20"/>
                <w:szCs w:val="20"/>
              </w:rPr>
              <w:t xml:space="preserve"> </w:t>
            </w:r>
            <w:r>
              <w:rPr>
                <w:rFonts w:ascii="Times New Roman" w:hAnsi="Times New Roman"/>
                <w:sz w:val="20"/>
                <w:szCs w:val="20"/>
              </w:rPr>
              <w:t>757</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98%</w:t>
            </w:r>
          </w:p>
        </w:tc>
        <w:tc>
          <w:tcPr>
            <w:tcW w:w="3969" w:type="dxa"/>
            <w:shd w:val="clear" w:color="auto" w:fill="auto"/>
            <w:vAlign w:val="center"/>
            <w:hideMark/>
          </w:tcPr>
          <w:p w:rsidR="00D84A9D" w:rsidRPr="004923B3" w:rsidRDefault="00F7539A" w:rsidP="00347DD5">
            <w:pPr>
              <w:spacing w:after="0" w:line="240" w:lineRule="auto"/>
              <w:rPr>
                <w:rFonts w:ascii="Times New Roman" w:eastAsia="Times New Roman" w:hAnsi="Times New Roman"/>
                <w:sz w:val="20"/>
                <w:szCs w:val="20"/>
              </w:rPr>
            </w:pPr>
            <w:r>
              <w:rPr>
                <w:rFonts w:ascii="Times New Roman" w:hAnsi="Times New Roman"/>
                <w:sz w:val="20"/>
                <w:szCs w:val="20"/>
              </w:rPr>
              <w:t>Within the allowed limits</w:t>
            </w:r>
          </w:p>
        </w:tc>
      </w:tr>
      <w:tr w:rsidR="00D84A9D" w:rsidRPr="004923B3" w:rsidTr="000331B4">
        <w:trPr>
          <w:trHeight w:val="28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2. 2</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-Social tax</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5</w:t>
            </w:r>
            <w:r w:rsidR="00F7539A">
              <w:rPr>
                <w:rFonts w:ascii="Times New Roman" w:hAnsi="Times New Roman"/>
                <w:sz w:val="20"/>
                <w:szCs w:val="20"/>
              </w:rPr>
              <w:t xml:space="preserve"> </w:t>
            </w:r>
            <w:r>
              <w:rPr>
                <w:rFonts w:ascii="Times New Roman" w:hAnsi="Times New Roman"/>
                <w:sz w:val="20"/>
                <w:szCs w:val="20"/>
              </w:rPr>
              <w:t>756</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4</w:t>
            </w:r>
            <w:r w:rsidR="00F7539A">
              <w:rPr>
                <w:rFonts w:ascii="Times New Roman" w:hAnsi="Times New Roman"/>
                <w:sz w:val="20"/>
                <w:szCs w:val="20"/>
              </w:rPr>
              <w:t xml:space="preserve"> </w:t>
            </w:r>
            <w:r>
              <w:rPr>
                <w:rFonts w:ascii="Times New Roman" w:hAnsi="Times New Roman"/>
                <w:sz w:val="20"/>
                <w:szCs w:val="20"/>
              </w:rPr>
              <w:t>512</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78%</w:t>
            </w:r>
          </w:p>
        </w:tc>
        <w:tc>
          <w:tcPr>
            <w:tcW w:w="3969" w:type="dxa"/>
            <w:shd w:val="clear" w:color="auto" w:fill="auto"/>
            <w:vAlign w:val="center"/>
            <w:hideMark/>
          </w:tcPr>
          <w:p w:rsidR="00D84A9D" w:rsidRPr="004923B3" w:rsidRDefault="00D84A9D" w:rsidP="00347DD5">
            <w:pPr>
              <w:spacing w:after="0" w:line="240" w:lineRule="auto"/>
              <w:jc w:val="right"/>
              <w:rPr>
                <w:rFonts w:ascii="Times New Roman" w:eastAsia="Times New Roman" w:hAnsi="Times New Roman"/>
                <w:sz w:val="20"/>
                <w:szCs w:val="20"/>
                <w:lang w:eastAsia="ru-RU"/>
              </w:rPr>
            </w:pPr>
          </w:p>
        </w:tc>
      </w:tr>
      <w:tr w:rsidR="00D84A9D" w:rsidRPr="004923B3" w:rsidTr="000331B4">
        <w:trPr>
          <w:trHeight w:val="94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3</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Depreciation</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8</w:t>
            </w:r>
            <w:r w:rsidR="00F7539A">
              <w:rPr>
                <w:rFonts w:ascii="Times New Roman" w:hAnsi="Times New Roman"/>
                <w:b/>
                <w:bCs/>
                <w:sz w:val="20"/>
                <w:szCs w:val="20"/>
              </w:rPr>
              <w:t xml:space="preserve"> </w:t>
            </w:r>
            <w:r>
              <w:rPr>
                <w:rFonts w:ascii="Times New Roman" w:hAnsi="Times New Roman"/>
                <w:b/>
                <w:bCs/>
                <w:sz w:val="20"/>
                <w:szCs w:val="20"/>
              </w:rPr>
              <w:t>347</w:t>
            </w:r>
            <w:r w:rsidR="00F7539A">
              <w:rPr>
                <w:rFonts w:ascii="Times New Roman" w:hAnsi="Times New Roman"/>
                <w:b/>
                <w:bCs/>
                <w:sz w:val="20"/>
                <w:szCs w:val="20"/>
              </w:rPr>
              <w:t xml:space="preserve"> </w:t>
            </w:r>
            <w:r>
              <w:rPr>
                <w:rFonts w:ascii="Times New Roman" w:hAnsi="Times New Roman"/>
                <w:b/>
                <w:bCs/>
                <w:sz w:val="20"/>
                <w:szCs w:val="20"/>
              </w:rPr>
              <w:t>560</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9</w:t>
            </w:r>
            <w:r w:rsidR="00F7539A">
              <w:rPr>
                <w:rFonts w:ascii="Times New Roman" w:hAnsi="Times New Roman"/>
                <w:b/>
                <w:bCs/>
                <w:sz w:val="20"/>
                <w:szCs w:val="20"/>
              </w:rPr>
              <w:t xml:space="preserve"> </w:t>
            </w:r>
            <w:r>
              <w:rPr>
                <w:rFonts w:ascii="Times New Roman" w:hAnsi="Times New Roman"/>
                <w:b/>
                <w:bCs/>
                <w:sz w:val="20"/>
                <w:szCs w:val="20"/>
              </w:rPr>
              <w:t>491</w:t>
            </w:r>
            <w:r w:rsidR="00F7539A">
              <w:rPr>
                <w:rFonts w:ascii="Times New Roman" w:hAnsi="Times New Roman"/>
                <w:b/>
                <w:bCs/>
                <w:sz w:val="20"/>
                <w:szCs w:val="20"/>
              </w:rPr>
              <w:t xml:space="preserve"> </w:t>
            </w:r>
            <w:r>
              <w:rPr>
                <w:rFonts w:ascii="Times New Roman" w:hAnsi="Times New Roman"/>
                <w:b/>
                <w:bCs/>
                <w:sz w:val="20"/>
                <w:szCs w:val="20"/>
              </w:rPr>
              <w:t>532</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114%</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The increase in depreciation is due to the excess of the actual figures from the planned figures at acquisition of fixed assets. </w:t>
            </w:r>
          </w:p>
        </w:tc>
      </w:tr>
      <w:tr w:rsidR="00D84A9D" w:rsidRPr="004923B3" w:rsidTr="000331B4">
        <w:trPr>
          <w:trHeight w:val="282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4</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Insurance</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4</w:t>
            </w:r>
            <w:r w:rsidR="00F7539A">
              <w:rPr>
                <w:rFonts w:ascii="Times New Roman" w:hAnsi="Times New Roman"/>
                <w:b/>
                <w:bCs/>
                <w:sz w:val="20"/>
                <w:szCs w:val="20"/>
              </w:rPr>
              <w:t xml:space="preserve"> </w:t>
            </w:r>
            <w:r>
              <w:rPr>
                <w:rFonts w:ascii="Times New Roman" w:hAnsi="Times New Roman"/>
                <w:b/>
                <w:bCs/>
                <w:sz w:val="20"/>
                <w:szCs w:val="20"/>
              </w:rPr>
              <w:t>677</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113</w:t>
            </w:r>
            <w:r w:rsidR="00F7539A">
              <w:rPr>
                <w:rFonts w:ascii="Times New Roman" w:hAnsi="Times New Roman"/>
                <w:b/>
                <w:bCs/>
                <w:sz w:val="20"/>
                <w:szCs w:val="20"/>
              </w:rPr>
              <w:t xml:space="preserve"> </w:t>
            </w:r>
            <w:r>
              <w:rPr>
                <w:rFonts w:ascii="Times New Roman" w:hAnsi="Times New Roman"/>
                <w:b/>
                <w:bCs/>
                <w:sz w:val="20"/>
                <w:szCs w:val="20"/>
              </w:rPr>
              <w:t>702</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2431%</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The increase in insurance costs is mainly due to the actual costs of "Insurance of the operational period".  Insurance of the Partnership's assets is compulsory condition of the creditors.</w:t>
            </w:r>
          </w:p>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In the current tariff plan, insurance costs do not cover expenses for "Insurance of the operational period".</w:t>
            </w:r>
          </w:p>
          <w:p w:rsidR="00D84A9D" w:rsidRPr="004923B3" w:rsidRDefault="00D84A9D" w:rsidP="00347DD5">
            <w:pPr>
              <w:spacing w:after="0" w:line="240" w:lineRule="auto"/>
              <w:rPr>
                <w:rFonts w:ascii="Times New Roman" w:eastAsia="Times New Roman" w:hAnsi="Times New Roman"/>
                <w:sz w:val="20"/>
                <w:szCs w:val="20"/>
                <w:lang w:eastAsia="ru-RU"/>
              </w:rPr>
            </w:pPr>
          </w:p>
        </w:tc>
      </w:tr>
      <w:tr w:rsidR="00D84A9D" w:rsidRPr="004923B3" w:rsidTr="000331B4">
        <w:trPr>
          <w:trHeight w:val="189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5</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Gas pipeline operation costs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2</w:t>
            </w:r>
            <w:r w:rsidR="00F7539A">
              <w:rPr>
                <w:rFonts w:ascii="Times New Roman" w:hAnsi="Times New Roman"/>
                <w:b/>
                <w:bCs/>
                <w:sz w:val="20"/>
                <w:szCs w:val="20"/>
              </w:rPr>
              <w:t xml:space="preserve"> </w:t>
            </w:r>
            <w:r>
              <w:rPr>
                <w:rFonts w:ascii="Times New Roman" w:hAnsi="Times New Roman"/>
                <w:b/>
                <w:bCs/>
                <w:sz w:val="20"/>
                <w:szCs w:val="20"/>
              </w:rPr>
              <w:t>110</w:t>
            </w:r>
            <w:r w:rsidR="00F7539A">
              <w:rPr>
                <w:rFonts w:ascii="Times New Roman" w:hAnsi="Times New Roman"/>
                <w:b/>
                <w:bCs/>
                <w:sz w:val="20"/>
                <w:szCs w:val="20"/>
              </w:rPr>
              <w:t xml:space="preserve"> </w:t>
            </w:r>
            <w:r>
              <w:rPr>
                <w:rFonts w:ascii="Times New Roman" w:hAnsi="Times New Roman"/>
                <w:b/>
                <w:bCs/>
                <w:sz w:val="20"/>
                <w:szCs w:val="20"/>
              </w:rPr>
              <w:t>926</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w:t>
            </w:r>
            <w:r w:rsidR="00F7539A">
              <w:rPr>
                <w:rFonts w:ascii="Times New Roman" w:hAnsi="Times New Roman"/>
                <w:b/>
                <w:bCs/>
                <w:sz w:val="20"/>
                <w:szCs w:val="20"/>
              </w:rPr>
              <w:t xml:space="preserve"> </w:t>
            </w:r>
            <w:r>
              <w:rPr>
                <w:rFonts w:ascii="Times New Roman" w:hAnsi="Times New Roman"/>
                <w:b/>
                <w:bCs/>
                <w:sz w:val="20"/>
                <w:szCs w:val="20"/>
              </w:rPr>
              <w:t>140</w:t>
            </w:r>
            <w:r w:rsidR="00F7539A">
              <w:rPr>
                <w:rFonts w:ascii="Times New Roman" w:hAnsi="Times New Roman"/>
                <w:b/>
                <w:bCs/>
                <w:sz w:val="20"/>
                <w:szCs w:val="20"/>
              </w:rPr>
              <w:t xml:space="preserve"> </w:t>
            </w:r>
            <w:r>
              <w:rPr>
                <w:rFonts w:ascii="Times New Roman" w:hAnsi="Times New Roman"/>
                <w:b/>
                <w:bCs/>
                <w:sz w:val="20"/>
                <w:szCs w:val="20"/>
              </w:rPr>
              <w:t>007</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54%</w:t>
            </w:r>
          </w:p>
        </w:tc>
        <w:tc>
          <w:tcPr>
            <w:tcW w:w="3969" w:type="dxa"/>
            <w:shd w:val="clear" w:color="auto" w:fill="auto"/>
            <w:vAlign w:val="center"/>
            <w:hideMark/>
          </w:tcPr>
          <w:p w:rsidR="00D84A9D" w:rsidRPr="004923B3" w:rsidRDefault="00D84A9D" w:rsidP="00347DD5">
            <w:pPr>
              <w:rPr>
                <w:rFonts w:ascii="Times New Roman" w:eastAsia="Times New Roman" w:hAnsi="Times New Roman"/>
                <w:bCs/>
                <w:sz w:val="20"/>
                <w:szCs w:val="20"/>
                <w:lang w:eastAsia="ru-RU"/>
              </w:rPr>
            </w:pPr>
          </w:p>
          <w:p w:rsidR="00D84A9D" w:rsidRPr="004923B3" w:rsidRDefault="00D84A9D" w:rsidP="00347DD5">
            <w:pPr>
              <w:spacing w:after="0" w:line="240" w:lineRule="auto"/>
              <w:rPr>
                <w:rFonts w:ascii="Times New Roman" w:eastAsia="Times New Roman" w:hAnsi="Times New Roman"/>
                <w:bCs/>
                <w:sz w:val="20"/>
                <w:szCs w:val="20"/>
              </w:rPr>
            </w:pPr>
            <w:r>
              <w:rPr>
                <w:rFonts w:ascii="Times New Roman" w:hAnsi="Times New Roman"/>
                <w:bCs/>
                <w:sz w:val="20"/>
                <w:szCs w:val="20"/>
              </w:rPr>
              <w:t xml:space="preserve">Saving is due to reduction of gas pipeline operation costs. </w:t>
            </w:r>
          </w:p>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The main reason is untimely conclusion of contracts with outside organizations and failure by contractors to meet targets.</w:t>
            </w:r>
          </w:p>
          <w:p w:rsidR="00D84A9D" w:rsidRPr="004923B3" w:rsidRDefault="00D84A9D" w:rsidP="00347DD5">
            <w:pPr>
              <w:spacing w:after="0" w:line="240" w:lineRule="auto"/>
              <w:rPr>
                <w:rFonts w:ascii="Times New Roman" w:eastAsia="Times New Roman" w:hAnsi="Times New Roman"/>
                <w:sz w:val="20"/>
                <w:szCs w:val="20"/>
                <w:lang w:eastAsia="ru-RU"/>
              </w:rPr>
            </w:pPr>
          </w:p>
        </w:tc>
      </w:tr>
      <w:tr w:rsidR="00D84A9D" w:rsidRPr="004923B3" w:rsidTr="000331B4">
        <w:trPr>
          <w:trHeight w:val="127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6</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Taxes and payments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4</w:t>
            </w:r>
            <w:r w:rsidR="00F7539A">
              <w:rPr>
                <w:rFonts w:ascii="Times New Roman" w:hAnsi="Times New Roman"/>
                <w:b/>
                <w:bCs/>
                <w:sz w:val="20"/>
                <w:szCs w:val="20"/>
              </w:rPr>
              <w:t xml:space="preserve"> </w:t>
            </w:r>
            <w:r>
              <w:rPr>
                <w:rFonts w:ascii="Times New Roman" w:hAnsi="Times New Roman"/>
                <w:b/>
                <w:bCs/>
                <w:sz w:val="20"/>
                <w:szCs w:val="20"/>
              </w:rPr>
              <w:t>625</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w:t>
            </w:r>
            <w:r w:rsidR="00F7539A">
              <w:rPr>
                <w:rFonts w:ascii="Times New Roman" w:hAnsi="Times New Roman"/>
                <w:b/>
                <w:bCs/>
                <w:sz w:val="20"/>
                <w:szCs w:val="20"/>
              </w:rPr>
              <w:t xml:space="preserve"> </w:t>
            </w:r>
            <w:r>
              <w:rPr>
                <w:rFonts w:ascii="Times New Roman" w:hAnsi="Times New Roman"/>
                <w:b/>
                <w:bCs/>
                <w:sz w:val="20"/>
                <w:szCs w:val="20"/>
              </w:rPr>
              <w:t>437</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31%</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In the approved tariff estimate, costs for taxes and payments includes “motor transport taxes” to the amount of 93,9 thous.tenge and “payment for land plots” to the amount of 4 531,1 thous. tenge. At the same time, payments for the use of land plots resulted in savings, and actual costs a</w:t>
            </w:r>
            <w:r w:rsidR="00B1781F">
              <w:rPr>
                <w:rFonts w:ascii="Times New Roman" w:hAnsi="Times New Roman"/>
                <w:sz w:val="20"/>
                <w:szCs w:val="20"/>
              </w:rPr>
              <w:t>mounted to -1 310 thousand KZT.</w:t>
            </w:r>
            <w:r>
              <w:rPr>
                <w:rFonts w:ascii="Times New Roman" w:hAnsi="Times New Roman"/>
                <w:sz w:val="20"/>
                <w:szCs w:val="20"/>
              </w:rPr>
              <w:br/>
            </w:r>
            <w:r>
              <w:rPr>
                <w:rFonts w:ascii="Times New Roman" w:hAnsi="Times New Roman"/>
                <w:sz w:val="20"/>
                <w:szCs w:val="20"/>
              </w:rPr>
              <w:lastRenderedPageBreak/>
              <w:t xml:space="preserve"> This is due to the long process of property and land use rights registration.</w:t>
            </w:r>
          </w:p>
        </w:tc>
      </w:tr>
      <w:tr w:rsidR="00D84A9D"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lastRenderedPageBreak/>
              <w:t>7</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Other costs, total</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517</w:t>
            </w:r>
            <w:r w:rsidR="00F7539A">
              <w:rPr>
                <w:rFonts w:ascii="Times New Roman" w:hAnsi="Times New Roman"/>
                <w:b/>
                <w:bCs/>
                <w:sz w:val="20"/>
                <w:szCs w:val="20"/>
              </w:rPr>
              <w:t xml:space="preserve"> </w:t>
            </w:r>
            <w:r>
              <w:rPr>
                <w:rFonts w:ascii="Times New Roman" w:hAnsi="Times New Roman"/>
                <w:b/>
                <w:bCs/>
                <w:sz w:val="20"/>
                <w:szCs w:val="20"/>
              </w:rPr>
              <w:t>700</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240</w:t>
            </w:r>
            <w:r w:rsidR="00F7539A">
              <w:rPr>
                <w:rFonts w:ascii="Times New Roman" w:hAnsi="Times New Roman"/>
                <w:b/>
                <w:bCs/>
                <w:sz w:val="20"/>
                <w:szCs w:val="20"/>
              </w:rPr>
              <w:t xml:space="preserve"> </w:t>
            </w:r>
            <w:r>
              <w:rPr>
                <w:rFonts w:ascii="Times New Roman" w:hAnsi="Times New Roman"/>
                <w:b/>
                <w:bCs/>
                <w:sz w:val="20"/>
                <w:szCs w:val="20"/>
              </w:rPr>
              <w:t>677</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46%</w:t>
            </w:r>
          </w:p>
        </w:tc>
        <w:tc>
          <w:tcPr>
            <w:tcW w:w="3969" w:type="dxa"/>
            <w:shd w:val="clear" w:color="auto" w:fill="auto"/>
            <w:vAlign w:val="center"/>
            <w:hideMark/>
          </w:tcPr>
          <w:p w:rsidR="00D84A9D" w:rsidRPr="004923B3" w:rsidRDefault="00D84A9D" w:rsidP="00347DD5">
            <w:pPr>
              <w:spacing w:after="0" w:line="240" w:lineRule="auto"/>
              <w:jc w:val="right"/>
              <w:rPr>
                <w:rFonts w:ascii="Times New Roman" w:eastAsia="Times New Roman" w:hAnsi="Times New Roman"/>
                <w:b/>
                <w:bCs/>
                <w:sz w:val="20"/>
                <w:szCs w:val="20"/>
              </w:rPr>
            </w:pPr>
            <w:r>
              <w:rPr>
                <w:rFonts w:ascii="Times New Roman" w:hAnsi="Times New Roman"/>
                <w:b/>
                <w:bCs/>
                <w:sz w:val="20"/>
                <w:szCs w:val="20"/>
              </w:rPr>
              <w:t> </w:t>
            </w:r>
          </w:p>
        </w:tc>
      </w:tr>
      <w:tr w:rsidR="00D84A9D"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 </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Including:</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 </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jc w:val="right"/>
              <w:rPr>
                <w:rFonts w:ascii="Times New Roman" w:eastAsia="Times New Roman" w:hAnsi="Times New Roman"/>
                <w:sz w:val="20"/>
                <w:szCs w:val="20"/>
              </w:rPr>
            </w:pPr>
            <w:r>
              <w:rPr>
                <w:rFonts w:ascii="Times New Roman" w:hAnsi="Times New Roman"/>
                <w:sz w:val="20"/>
                <w:szCs w:val="20"/>
              </w:rPr>
              <w:t> </w:t>
            </w:r>
          </w:p>
        </w:tc>
      </w:tr>
      <w:tr w:rsidR="00D84A9D" w:rsidRPr="004923B3" w:rsidTr="000331B4">
        <w:trPr>
          <w:trHeight w:val="63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7.1.</w:t>
            </w:r>
          </w:p>
        </w:tc>
        <w:tc>
          <w:tcPr>
            <w:tcW w:w="2757" w:type="dxa"/>
            <w:shd w:val="clear" w:color="auto" w:fill="auto"/>
            <w:vAlign w:val="center"/>
            <w:hideMark/>
          </w:tcPr>
          <w:p w:rsidR="00D84A9D" w:rsidRPr="00347DD5" w:rsidRDefault="004134FE" w:rsidP="00347DD5">
            <w:pPr>
              <w:spacing w:after="0" w:line="240" w:lineRule="auto"/>
              <w:rPr>
                <w:rFonts w:ascii="Times New Roman" w:eastAsia="Times New Roman" w:hAnsi="Times New Roman"/>
                <w:sz w:val="20"/>
                <w:szCs w:val="20"/>
              </w:rPr>
            </w:pPr>
            <w:r>
              <w:rPr>
                <w:rFonts w:ascii="Times New Roman" w:hAnsi="Times New Roman"/>
                <w:sz w:val="20"/>
                <w:szCs w:val="20"/>
              </w:rPr>
              <w:t>Aerial</w:t>
            </w:r>
            <w:r w:rsidR="00D84A9D">
              <w:rPr>
                <w:rFonts w:ascii="Times New Roman" w:hAnsi="Times New Roman"/>
                <w:sz w:val="20"/>
                <w:szCs w:val="20"/>
              </w:rPr>
              <w:t xml:space="preserve"> </w:t>
            </w:r>
            <w:r w:rsidR="00347DD5">
              <w:rPr>
                <w:rFonts w:ascii="Times New Roman" w:hAnsi="Times New Roman"/>
                <w:sz w:val="20"/>
                <w:szCs w:val="20"/>
              </w:rPr>
              <w:t xml:space="preserve">surveillance </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238</w:t>
            </w:r>
            <w:r w:rsidR="00F7539A">
              <w:rPr>
                <w:rFonts w:ascii="Times New Roman" w:hAnsi="Times New Roman"/>
                <w:sz w:val="20"/>
                <w:szCs w:val="20"/>
              </w:rPr>
              <w:t xml:space="preserve"> </w:t>
            </w:r>
            <w:r>
              <w:rPr>
                <w:rFonts w:ascii="Times New Roman" w:hAnsi="Times New Roman"/>
                <w:sz w:val="20"/>
                <w:szCs w:val="20"/>
              </w:rPr>
              <w:t>457</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65</w:t>
            </w:r>
            <w:r w:rsidR="00F7539A">
              <w:rPr>
                <w:rFonts w:ascii="Times New Roman" w:hAnsi="Times New Roman"/>
                <w:sz w:val="20"/>
                <w:szCs w:val="20"/>
              </w:rPr>
              <w:t xml:space="preserve"> </w:t>
            </w:r>
            <w:r>
              <w:rPr>
                <w:rFonts w:ascii="Times New Roman" w:hAnsi="Times New Roman"/>
                <w:sz w:val="20"/>
                <w:szCs w:val="20"/>
              </w:rPr>
              <w:t>332</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27%</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Savings on air patrolling of the main gas pipeline route have occurred as a result of reduction of the actual number of departures, untimely signing of a contract with the contractor who</w:t>
            </w:r>
            <w:r w:rsidR="00B1781F">
              <w:rPr>
                <w:rFonts w:ascii="Times New Roman" w:hAnsi="Times New Roman"/>
                <w:sz w:val="20"/>
                <w:szCs w:val="20"/>
              </w:rPr>
              <w:t xml:space="preserve"> provides this type of service.</w:t>
            </w:r>
            <w:r>
              <w:rPr>
                <w:rFonts w:ascii="Times New Roman" w:hAnsi="Times New Roman"/>
                <w:sz w:val="20"/>
                <w:szCs w:val="20"/>
              </w:rPr>
              <w:br/>
              <w:t xml:space="preserve"> </w:t>
            </w:r>
          </w:p>
        </w:tc>
      </w:tr>
      <w:tr w:rsidR="00D84A9D" w:rsidRPr="004923B3" w:rsidTr="000331B4">
        <w:trPr>
          <w:trHeight w:val="63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7.2.</w:t>
            </w:r>
          </w:p>
        </w:tc>
        <w:tc>
          <w:tcPr>
            <w:tcW w:w="2757" w:type="dxa"/>
            <w:shd w:val="clear" w:color="auto" w:fill="auto"/>
            <w:vAlign w:val="center"/>
            <w:hideMark/>
          </w:tcPr>
          <w:p w:rsidR="00D84A9D" w:rsidRPr="004923B3" w:rsidRDefault="004134FE" w:rsidP="00347DD5">
            <w:pPr>
              <w:spacing w:after="0" w:line="240" w:lineRule="auto"/>
              <w:rPr>
                <w:rFonts w:ascii="Times New Roman" w:eastAsia="Times New Roman" w:hAnsi="Times New Roman"/>
                <w:sz w:val="20"/>
                <w:szCs w:val="20"/>
              </w:rPr>
            </w:pPr>
            <w:r w:rsidRPr="004134FE">
              <w:rPr>
                <w:rFonts w:ascii="Times New Roman" w:hAnsi="Times New Roman"/>
                <w:sz w:val="20"/>
                <w:szCs w:val="20"/>
              </w:rPr>
              <w:t>Verification of measuring instruments (metrology and standardization services)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6</w:t>
            </w:r>
            <w:r w:rsidR="00F7539A">
              <w:rPr>
                <w:rFonts w:ascii="Times New Roman" w:hAnsi="Times New Roman"/>
                <w:sz w:val="20"/>
                <w:szCs w:val="20"/>
              </w:rPr>
              <w:t xml:space="preserve"> </w:t>
            </w:r>
            <w:r>
              <w:rPr>
                <w:rFonts w:ascii="Times New Roman" w:hAnsi="Times New Roman"/>
                <w:sz w:val="20"/>
                <w:szCs w:val="20"/>
              </w:rPr>
              <w:t>314</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0</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0%</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Execution of contractual obligations by contracting organizations.</w:t>
            </w:r>
          </w:p>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As of current date the contractors failed to transfer this equipment to the Partnership. </w:t>
            </w:r>
          </w:p>
        </w:tc>
      </w:tr>
      <w:tr w:rsidR="00D84A9D" w:rsidRPr="004923B3" w:rsidTr="000331B4">
        <w:trPr>
          <w:trHeight w:val="87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7.3.</w:t>
            </w:r>
          </w:p>
        </w:tc>
        <w:tc>
          <w:tcPr>
            <w:tcW w:w="2757" w:type="dxa"/>
            <w:shd w:val="clear" w:color="auto" w:fill="auto"/>
            <w:vAlign w:val="center"/>
            <w:hideMark/>
          </w:tcPr>
          <w:p w:rsidR="00D84A9D" w:rsidRPr="004134FE" w:rsidRDefault="004134FE" w:rsidP="00347DD5">
            <w:pPr>
              <w:spacing w:after="0" w:line="240" w:lineRule="auto"/>
              <w:rPr>
                <w:rFonts w:ascii="Times New Roman" w:hAnsi="Times New Roman"/>
                <w:sz w:val="20"/>
                <w:szCs w:val="20"/>
              </w:rPr>
            </w:pPr>
            <w:r w:rsidRPr="004134FE">
              <w:rPr>
                <w:rFonts w:ascii="Times New Roman" w:hAnsi="Times New Roman"/>
                <w:sz w:val="20"/>
                <w:szCs w:val="20"/>
              </w:rPr>
              <w:t>Gas pipeline security (extra-departmental and fire security)</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185</w:t>
            </w:r>
            <w:r w:rsidR="00F7539A">
              <w:rPr>
                <w:rFonts w:ascii="Times New Roman" w:hAnsi="Times New Roman"/>
                <w:sz w:val="20"/>
                <w:szCs w:val="20"/>
              </w:rPr>
              <w:t xml:space="preserve"> </w:t>
            </w:r>
            <w:r>
              <w:rPr>
                <w:rFonts w:ascii="Times New Roman" w:hAnsi="Times New Roman"/>
                <w:sz w:val="20"/>
                <w:szCs w:val="20"/>
              </w:rPr>
              <w:t>431</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169</w:t>
            </w:r>
            <w:r w:rsidR="00F7539A">
              <w:rPr>
                <w:rFonts w:ascii="Times New Roman" w:hAnsi="Times New Roman"/>
                <w:sz w:val="20"/>
                <w:szCs w:val="20"/>
              </w:rPr>
              <w:t xml:space="preserve"> </w:t>
            </w:r>
            <w:r>
              <w:rPr>
                <w:rFonts w:ascii="Times New Roman" w:hAnsi="Times New Roman"/>
                <w:sz w:val="20"/>
                <w:szCs w:val="20"/>
              </w:rPr>
              <w:t>911</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92%</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Due to untimely commissioning of emergency response centers and shift camps, there was no need to spent money for the third party security and fire protection service.</w:t>
            </w:r>
          </w:p>
        </w:tc>
      </w:tr>
      <w:tr w:rsidR="00D84A9D" w:rsidRPr="004923B3" w:rsidTr="000331B4">
        <w:trPr>
          <w:trHeight w:val="63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7.4.</w:t>
            </w:r>
          </w:p>
        </w:tc>
        <w:tc>
          <w:tcPr>
            <w:tcW w:w="2757" w:type="dxa"/>
            <w:shd w:val="clear" w:color="auto" w:fill="auto"/>
            <w:vAlign w:val="center"/>
            <w:hideMark/>
          </w:tcPr>
          <w:p w:rsidR="00D84A9D" w:rsidRPr="004134FE" w:rsidRDefault="00D84A9D" w:rsidP="00347DD5">
            <w:pPr>
              <w:spacing w:after="0" w:line="240" w:lineRule="auto"/>
              <w:rPr>
                <w:rFonts w:ascii="Times New Roman" w:hAnsi="Times New Roman"/>
                <w:sz w:val="20"/>
                <w:szCs w:val="20"/>
              </w:rPr>
            </w:pPr>
            <w:r>
              <w:rPr>
                <w:rFonts w:ascii="Times New Roman" w:hAnsi="Times New Roman"/>
                <w:sz w:val="20"/>
                <w:szCs w:val="20"/>
              </w:rPr>
              <w:t>Fire alarm system maintenance</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87</w:t>
            </w:r>
            <w:r w:rsidR="00F7539A">
              <w:rPr>
                <w:rFonts w:ascii="Times New Roman" w:hAnsi="Times New Roman"/>
                <w:sz w:val="20"/>
                <w:szCs w:val="20"/>
              </w:rPr>
              <w:t xml:space="preserve"> </w:t>
            </w:r>
            <w:r>
              <w:rPr>
                <w:rFonts w:ascii="Times New Roman" w:hAnsi="Times New Roman"/>
                <w:sz w:val="20"/>
                <w:szCs w:val="20"/>
              </w:rPr>
              <w:t>497</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0</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0%</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Due to the untimely commissioning of emergency response centers and shift camps, it was unnecessary to spent for maintenance of fire alarms. </w:t>
            </w:r>
          </w:p>
        </w:tc>
      </w:tr>
      <w:tr w:rsidR="00D84A9D" w:rsidRPr="004923B3" w:rsidTr="000331B4">
        <w:trPr>
          <w:trHeight w:val="63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7.5.</w:t>
            </w:r>
          </w:p>
        </w:tc>
        <w:tc>
          <w:tcPr>
            <w:tcW w:w="2757" w:type="dxa"/>
            <w:shd w:val="clear" w:color="auto" w:fill="auto"/>
            <w:vAlign w:val="center"/>
            <w:hideMark/>
          </w:tcPr>
          <w:p w:rsidR="00D84A9D" w:rsidRPr="004923B3" w:rsidRDefault="004134FE" w:rsidP="00347DD5">
            <w:pPr>
              <w:spacing w:after="0" w:line="240" w:lineRule="auto"/>
              <w:rPr>
                <w:rFonts w:ascii="Times New Roman" w:eastAsia="Times New Roman" w:hAnsi="Times New Roman"/>
                <w:sz w:val="20"/>
                <w:szCs w:val="20"/>
              </w:rPr>
            </w:pPr>
            <w:r>
              <w:rPr>
                <w:rFonts w:ascii="Times New Roman" w:hAnsi="Times New Roman"/>
                <w:sz w:val="20"/>
                <w:szCs w:val="20"/>
              </w:rPr>
              <w:t>Business trip related</w:t>
            </w:r>
            <w:r w:rsidR="00D84A9D">
              <w:rPr>
                <w:rFonts w:ascii="Times New Roman" w:hAnsi="Times New Roman"/>
                <w:sz w:val="20"/>
                <w:szCs w:val="20"/>
              </w:rPr>
              <w:t xml:space="preserve"> expenses </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3</w:t>
            </w:r>
            <w:r w:rsidR="00F7539A">
              <w:rPr>
                <w:rFonts w:ascii="Times New Roman" w:hAnsi="Times New Roman"/>
                <w:sz w:val="20"/>
                <w:szCs w:val="20"/>
              </w:rPr>
              <w:t xml:space="preserve"> </w:t>
            </w:r>
            <w:r>
              <w:rPr>
                <w:rFonts w:ascii="Times New Roman" w:hAnsi="Times New Roman"/>
                <w:sz w:val="20"/>
                <w:szCs w:val="20"/>
              </w:rPr>
              <w:t>115</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At approval of the tariff in a simplified procedure, the authorized body left out travel ex</w:t>
            </w:r>
            <w:r w:rsidR="00B1781F">
              <w:rPr>
                <w:rFonts w:ascii="Times New Roman" w:hAnsi="Times New Roman"/>
                <w:sz w:val="20"/>
                <w:szCs w:val="20"/>
              </w:rPr>
              <w:t>penses of production personnel.</w:t>
            </w:r>
            <w:r>
              <w:rPr>
                <w:rFonts w:ascii="Times New Roman" w:hAnsi="Times New Roman"/>
                <w:sz w:val="20"/>
                <w:szCs w:val="20"/>
              </w:rPr>
              <w:br/>
            </w:r>
          </w:p>
        </w:tc>
      </w:tr>
      <w:tr w:rsidR="00D84A9D" w:rsidRPr="004923B3" w:rsidTr="000331B4">
        <w:trPr>
          <w:trHeight w:val="94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7. 6</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Satellite communication and connection to telecommunication system</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2</w:t>
            </w:r>
            <w:r w:rsidR="00F7539A">
              <w:rPr>
                <w:rFonts w:ascii="Times New Roman" w:hAnsi="Times New Roman"/>
                <w:sz w:val="20"/>
                <w:szCs w:val="20"/>
              </w:rPr>
              <w:t xml:space="preserve"> </w:t>
            </w:r>
            <w:r>
              <w:rPr>
                <w:rFonts w:ascii="Times New Roman" w:hAnsi="Times New Roman"/>
                <w:sz w:val="20"/>
                <w:szCs w:val="20"/>
              </w:rPr>
              <w:t>320</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At approval of the tariff in a simplified procedure, the authorized body left out costs for satellite communication and connection to telecommunication systems.</w:t>
            </w:r>
          </w:p>
        </w:tc>
      </w:tr>
      <w:tr w:rsidR="00D84A9D"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7. 7</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Personnel training</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 </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0</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jc w:val="right"/>
              <w:rPr>
                <w:rFonts w:ascii="Times New Roman" w:eastAsia="Times New Roman" w:hAnsi="Times New Roman"/>
                <w:sz w:val="20"/>
                <w:szCs w:val="20"/>
              </w:rPr>
            </w:pPr>
            <w:r>
              <w:rPr>
                <w:rFonts w:ascii="Times New Roman" w:hAnsi="Times New Roman"/>
                <w:sz w:val="20"/>
                <w:szCs w:val="20"/>
              </w:rPr>
              <w:t> </w:t>
            </w:r>
          </w:p>
        </w:tc>
      </w:tr>
      <w:tr w:rsidR="00D84A9D"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8</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Other expenses, total</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7</w:t>
            </w:r>
            <w:r w:rsidR="00F7539A">
              <w:rPr>
                <w:rFonts w:ascii="Times New Roman" w:hAnsi="Times New Roman"/>
                <w:b/>
                <w:bCs/>
                <w:sz w:val="20"/>
                <w:szCs w:val="20"/>
              </w:rPr>
              <w:t xml:space="preserve"> </w:t>
            </w:r>
            <w:r>
              <w:rPr>
                <w:rFonts w:ascii="Times New Roman" w:hAnsi="Times New Roman"/>
                <w:b/>
                <w:bCs/>
                <w:sz w:val="20"/>
                <w:szCs w:val="20"/>
              </w:rPr>
              <w:t>401</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27</w:t>
            </w:r>
            <w:r w:rsidR="00F7539A">
              <w:rPr>
                <w:rFonts w:ascii="Times New Roman" w:hAnsi="Times New Roman"/>
                <w:b/>
                <w:bCs/>
                <w:sz w:val="20"/>
                <w:szCs w:val="20"/>
              </w:rPr>
              <w:t xml:space="preserve"> </w:t>
            </w:r>
            <w:r>
              <w:rPr>
                <w:rFonts w:ascii="Times New Roman" w:hAnsi="Times New Roman"/>
                <w:b/>
                <w:bCs/>
                <w:sz w:val="20"/>
                <w:szCs w:val="20"/>
              </w:rPr>
              <w:t>983</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378%</w:t>
            </w:r>
          </w:p>
        </w:tc>
        <w:tc>
          <w:tcPr>
            <w:tcW w:w="3969" w:type="dxa"/>
            <w:shd w:val="clear" w:color="auto" w:fill="auto"/>
            <w:vAlign w:val="center"/>
            <w:hideMark/>
          </w:tcPr>
          <w:p w:rsidR="00D84A9D" w:rsidRPr="004923B3" w:rsidRDefault="00D84A9D" w:rsidP="00347DD5">
            <w:pPr>
              <w:spacing w:after="0" w:line="240" w:lineRule="auto"/>
              <w:jc w:val="right"/>
              <w:rPr>
                <w:rFonts w:ascii="Times New Roman" w:eastAsia="Times New Roman" w:hAnsi="Times New Roman"/>
                <w:b/>
                <w:bCs/>
                <w:sz w:val="20"/>
                <w:szCs w:val="20"/>
              </w:rPr>
            </w:pPr>
            <w:r>
              <w:rPr>
                <w:rFonts w:ascii="Times New Roman" w:hAnsi="Times New Roman"/>
                <w:b/>
                <w:bCs/>
                <w:sz w:val="20"/>
                <w:szCs w:val="20"/>
              </w:rPr>
              <w:t> </w:t>
            </w:r>
          </w:p>
        </w:tc>
      </w:tr>
      <w:tr w:rsidR="00D84A9D"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b/>
                <w:bCs/>
                <w:sz w:val="20"/>
                <w:szCs w:val="20"/>
              </w:rPr>
            </w:pPr>
            <w:r>
              <w:rPr>
                <w:rFonts w:ascii="Times New Roman" w:hAnsi="Times New Roman"/>
                <w:b/>
                <w:bCs/>
                <w:sz w:val="20"/>
                <w:szCs w:val="20"/>
              </w:rPr>
              <w:t> </w:t>
            </w:r>
          </w:p>
        </w:tc>
        <w:tc>
          <w:tcPr>
            <w:tcW w:w="2757" w:type="dxa"/>
            <w:shd w:val="clear" w:color="auto" w:fill="auto"/>
            <w:vAlign w:val="center"/>
            <w:hideMark/>
          </w:tcPr>
          <w:p w:rsidR="00D84A9D" w:rsidRPr="004923B3" w:rsidRDefault="00D84A9D" w:rsidP="00347DD5">
            <w:pPr>
              <w:spacing w:after="0" w:line="240" w:lineRule="auto"/>
              <w:outlineLvl w:val="0"/>
              <w:rPr>
                <w:rFonts w:ascii="Times New Roman" w:eastAsia="Times New Roman" w:hAnsi="Times New Roman"/>
                <w:sz w:val="20"/>
                <w:szCs w:val="20"/>
              </w:rPr>
            </w:pPr>
            <w:r>
              <w:rPr>
                <w:rFonts w:ascii="Times New Roman" w:hAnsi="Times New Roman"/>
                <w:sz w:val="20"/>
                <w:szCs w:val="20"/>
              </w:rPr>
              <w:t>Including:</w:t>
            </w:r>
          </w:p>
        </w:tc>
        <w:tc>
          <w:tcPr>
            <w:tcW w:w="1197"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sz w:val="20"/>
                <w:szCs w:val="20"/>
              </w:rPr>
            </w:pPr>
            <w:r>
              <w:rPr>
                <w:rFonts w:ascii="Times New Roman" w:hAnsi="Times New Roman"/>
                <w:sz w:val="20"/>
                <w:szCs w:val="20"/>
              </w:rPr>
              <w:t> </w:t>
            </w:r>
          </w:p>
        </w:tc>
        <w:tc>
          <w:tcPr>
            <w:tcW w:w="2043"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b/>
                <w:bCs/>
                <w:sz w:val="20"/>
                <w:szCs w:val="20"/>
                <w:lang w:eastAsia="ru-RU"/>
              </w:rPr>
            </w:pPr>
          </w:p>
        </w:tc>
        <w:tc>
          <w:tcPr>
            <w:tcW w:w="170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sz w:val="20"/>
                <w:szCs w:val="20"/>
                <w:lang w:eastAsia="ru-RU"/>
              </w:rPr>
            </w:pPr>
          </w:p>
        </w:tc>
        <w:tc>
          <w:tcPr>
            <w:tcW w:w="1559"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jc w:val="right"/>
              <w:outlineLvl w:val="0"/>
              <w:rPr>
                <w:rFonts w:ascii="Times New Roman" w:eastAsia="Times New Roman" w:hAnsi="Times New Roman"/>
                <w:sz w:val="20"/>
                <w:szCs w:val="20"/>
              </w:rPr>
            </w:pPr>
            <w:r>
              <w:rPr>
                <w:rFonts w:ascii="Times New Roman" w:hAnsi="Times New Roman"/>
                <w:sz w:val="20"/>
                <w:szCs w:val="20"/>
              </w:rPr>
              <w:t> </w:t>
            </w:r>
          </w:p>
        </w:tc>
      </w:tr>
      <w:tr w:rsidR="00D84A9D" w:rsidRPr="004923B3" w:rsidTr="000331B4">
        <w:trPr>
          <w:trHeight w:val="630"/>
        </w:trPr>
        <w:tc>
          <w:tcPr>
            <w:tcW w:w="67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lastRenderedPageBreak/>
              <w:t>8. 1</w:t>
            </w:r>
          </w:p>
        </w:tc>
        <w:tc>
          <w:tcPr>
            <w:tcW w:w="2757" w:type="dxa"/>
            <w:shd w:val="clear" w:color="auto" w:fill="auto"/>
            <w:vAlign w:val="center"/>
            <w:hideMark/>
          </w:tcPr>
          <w:p w:rsidR="00D84A9D" w:rsidRPr="00401336" w:rsidRDefault="00D84A9D" w:rsidP="00347DD5">
            <w:pPr>
              <w:spacing w:after="0" w:line="240" w:lineRule="auto"/>
              <w:outlineLvl w:val="0"/>
              <w:rPr>
                <w:rFonts w:ascii="Times New Roman" w:eastAsia="Times New Roman" w:hAnsi="Times New Roman"/>
                <w:iCs/>
                <w:sz w:val="20"/>
                <w:szCs w:val="20"/>
              </w:rPr>
            </w:pPr>
            <w:r w:rsidRPr="00401336">
              <w:rPr>
                <w:rFonts w:ascii="Times New Roman" w:hAnsi="Times New Roman"/>
                <w:iCs/>
                <w:sz w:val="20"/>
                <w:szCs w:val="20"/>
              </w:rPr>
              <w:t>Announcements in mass media regarding MGP route run</w:t>
            </w:r>
          </w:p>
        </w:tc>
        <w:tc>
          <w:tcPr>
            <w:tcW w:w="1197"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1</w:t>
            </w:r>
            <w:r w:rsidR="00F7539A">
              <w:rPr>
                <w:rFonts w:ascii="Times New Roman" w:hAnsi="Times New Roman"/>
                <w:i/>
                <w:iCs/>
                <w:sz w:val="20"/>
                <w:szCs w:val="20"/>
              </w:rPr>
              <w:t xml:space="preserve"> </w:t>
            </w:r>
            <w:r>
              <w:rPr>
                <w:rFonts w:ascii="Times New Roman" w:hAnsi="Times New Roman"/>
                <w:i/>
                <w:iCs/>
                <w:sz w:val="20"/>
                <w:szCs w:val="20"/>
              </w:rPr>
              <w:t>607</w:t>
            </w:r>
          </w:p>
        </w:tc>
        <w:tc>
          <w:tcPr>
            <w:tcW w:w="170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3</w:t>
            </w:r>
            <w:r w:rsidR="00F7539A">
              <w:rPr>
                <w:rFonts w:ascii="Times New Roman" w:hAnsi="Times New Roman"/>
                <w:i/>
                <w:iCs/>
                <w:sz w:val="20"/>
                <w:szCs w:val="20"/>
              </w:rPr>
              <w:t xml:space="preserve"> </w:t>
            </w:r>
            <w:r>
              <w:rPr>
                <w:rFonts w:ascii="Times New Roman" w:hAnsi="Times New Roman"/>
                <w:i/>
                <w:iCs/>
                <w:sz w:val="20"/>
                <w:szCs w:val="20"/>
              </w:rPr>
              <w:t>533</w:t>
            </w:r>
          </w:p>
        </w:tc>
        <w:tc>
          <w:tcPr>
            <w:tcW w:w="1559"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sz w:val="20"/>
                <w:szCs w:val="20"/>
              </w:rPr>
            </w:pPr>
            <w:r>
              <w:rPr>
                <w:rFonts w:ascii="Times New Roman" w:hAnsi="Times New Roman"/>
                <w:sz w:val="20"/>
                <w:szCs w:val="20"/>
              </w:rPr>
              <w:t>220%</w:t>
            </w:r>
          </w:p>
        </w:tc>
        <w:tc>
          <w:tcPr>
            <w:tcW w:w="3969" w:type="dxa"/>
            <w:shd w:val="clear" w:color="auto" w:fill="auto"/>
            <w:vAlign w:val="center"/>
            <w:hideMark/>
          </w:tcPr>
          <w:p w:rsidR="00D84A9D" w:rsidRPr="004923B3" w:rsidRDefault="00D84A9D" w:rsidP="00347DD5">
            <w:pPr>
              <w:spacing w:after="0" w:line="240" w:lineRule="auto"/>
              <w:outlineLvl w:val="0"/>
              <w:rPr>
                <w:rFonts w:ascii="Times New Roman" w:eastAsia="Times New Roman" w:hAnsi="Times New Roman"/>
                <w:sz w:val="20"/>
                <w:szCs w:val="20"/>
              </w:rPr>
            </w:pPr>
            <w:r>
              <w:rPr>
                <w:rFonts w:ascii="Times New Roman" w:hAnsi="Times New Roman"/>
                <w:sz w:val="20"/>
                <w:szCs w:val="20"/>
              </w:rPr>
              <w:t>At considering of the application in a simplified manner, the authorized body has reduced the area of ​​publication in the mass media.</w:t>
            </w:r>
          </w:p>
        </w:tc>
      </w:tr>
      <w:tr w:rsidR="00D84A9D" w:rsidRPr="004923B3" w:rsidTr="000331B4">
        <w:trPr>
          <w:trHeight w:val="630"/>
        </w:trPr>
        <w:tc>
          <w:tcPr>
            <w:tcW w:w="671" w:type="dxa"/>
            <w:shd w:val="clear" w:color="auto" w:fill="auto"/>
            <w:vAlign w:val="center"/>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8. 2</w:t>
            </w:r>
          </w:p>
        </w:tc>
        <w:tc>
          <w:tcPr>
            <w:tcW w:w="2757" w:type="dxa"/>
            <w:shd w:val="clear" w:color="auto" w:fill="auto"/>
            <w:vAlign w:val="center"/>
          </w:tcPr>
          <w:p w:rsidR="00D84A9D" w:rsidRPr="00401336" w:rsidRDefault="00D84A9D" w:rsidP="00347DD5">
            <w:pPr>
              <w:spacing w:after="0" w:line="240" w:lineRule="auto"/>
              <w:outlineLvl w:val="0"/>
              <w:rPr>
                <w:rFonts w:ascii="Times New Roman" w:eastAsia="Times New Roman" w:hAnsi="Times New Roman"/>
                <w:iCs/>
                <w:sz w:val="20"/>
                <w:szCs w:val="20"/>
              </w:rPr>
            </w:pPr>
            <w:r w:rsidRPr="00401336">
              <w:rPr>
                <w:rFonts w:ascii="Times New Roman" w:hAnsi="Times New Roman"/>
                <w:iCs/>
                <w:sz w:val="20"/>
                <w:szCs w:val="20"/>
              </w:rPr>
              <w:t>Rent of premises</w:t>
            </w:r>
          </w:p>
        </w:tc>
        <w:tc>
          <w:tcPr>
            <w:tcW w:w="1197" w:type="dxa"/>
            <w:shd w:val="clear" w:color="auto" w:fill="auto"/>
            <w:vAlign w:val="center"/>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w:t>
            </w:r>
          </w:p>
        </w:tc>
        <w:tc>
          <w:tcPr>
            <w:tcW w:w="2043" w:type="dxa"/>
            <w:shd w:val="clear" w:color="auto" w:fill="auto"/>
            <w:vAlign w:val="center"/>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3</w:t>
            </w:r>
            <w:r w:rsidR="00F7539A">
              <w:rPr>
                <w:rFonts w:ascii="Times New Roman" w:hAnsi="Times New Roman"/>
                <w:i/>
                <w:iCs/>
                <w:sz w:val="20"/>
                <w:szCs w:val="20"/>
              </w:rPr>
              <w:t xml:space="preserve"> </w:t>
            </w:r>
            <w:r>
              <w:rPr>
                <w:rFonts w:ascii="Times New Roman" w:hAnsi="Times New Roman"/>
                <w:i/>
                <w:iCs/>
                <w:sz w:val="20"/>
                <w:szCs w:val="20"/>
              </w:rPr>
              <w:t>782</w:t>
            </w:r>
          </w:p>
        </w:tc>
        <w:tc>
          <w:tcPr>
            <w:tcW w:w="1701" w:type="dxa"/>
            <w:shd w:val="clear" w:color="auto" w:fill="auto"/>
            <w:vAlign w:val="center"/>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4</w:t>
            </w:r>
            <w:r w:rsidR="00F7539A">
              <w:rPr>
                <w:rFonts w:ascii="Times New Roman" w:hAnsi="Times New Roman"/>
                <w:i/>
                <w:iCs/>
                <w:sz w:val="20"/>
                <w:szCs w:val="20"/>
              </w:rPr>
              <w:t xml:space="preserve"> </w:t>
            </w:r>
            <w:r>
              <w:rPr>
                <w:rFonts w:ascii="Times New Roman" w:hAnsi="Times New Roman"/>
                <w:i/>
                <w:iCs/>
                <w:sz w:val="20"/>
                <w:szCs w:val="20"/>
              </w:rPr>
              <w:t>106</w:t>
            </w:r>
          </w:p>
        </w:tc>
        <w:tc>
          <w:tcPr>
            <w:tcW w:w="1559" w:type="dxa"/>
            <w:shd w:val="clear" w:color="auto" w:fill="auto"/>
            <w:vAlign w:val="center"/>
          </w:tcPr>
          <w:p w:rsidR="00D84A9D" w:rsidRPr="004923B3" w:rsidRDefault="00D84A9D" w:rsidP="00347DD5">
            <w:pPr>
              <w:spacing w:after="0" w:line="240" w:lineRule="auto"/>
              <w:jc w:val="center"/>
              <w:outlineLvl w:val="0"/>
              <w:rPr>
                <w:rFonts w:ascii="Times New Roman" w:eastAsia="Times New Roman" w:hAnsi="Times New Roman"/>
                <w:sz w:val="20"/>
                <w:szCs w:val="20"/>
              </w:rPr>
            </w:pPr>
            <w:r>
              <w:rPr>
                <w:rFonts w:ascii="Times New Roman" w:hAnsi="Times New Roman"/>
                <w:sz w:val="20"/>
                <w:szCs w:val="20"/>
              </w:rPr>
              <w:t>109%</w:t>
            </w:r>
          </w:p>
        </w:tc>
        <w:tc>
          <w:tcPr>
            <w:tcW w:w="3969" w:type="dxa"/>
            <w:shd w:val="clear" w:color="auto" w:fill="auto"/>
            <w:vAlign w:val="center"/>
          </w:tcPr>
          <w:p w:rsidR="00D84A9D" w:rsidRPr="004923B3" w:rsidRDefault="00D84A9D" w:rsidP="00347DD5">
            <w:pPr>
              <w:spacing w:after="0" w:line="240" w:lineRule="auto"/>
              <w:outlineLvl w:val="0"/>
              <w:rPr>
                <w:rFonts w:ascii="Times New Roman" w:eastAsia="Times New Roman" w:hAnsi="Times New Roman"/>
                <w:sz w:val="20"/>
                <w:szCs w:val="20"/>
              </w:rPr>
            </w:pPr>
            <w:r>
              <w:rPr>
                <w:rFonts w:ascii="Times New Roman" w:hAnsi="Times New Roman"/>
                <w:sz w:val="20"/>
                <w:szCs w:val="20"/>
              </w:rPr>
              <w:t>Due to exclusion by the authorized agency of the costs for rent of parking lots for Central Dispatch Administration, there was an excess of expenses und</w:t>
            </w:r>
            <w:r w:rsidR="00B1781F">
              <w:rPr>
                <w:rFonts w:ascii="Times New Roman" w:hAnsi="Times New Roman"/>
                <w:sz w:val="20"/>
                <w:szCs w:val="20"/>
              </w:rPr>
              <w:t>er the “rent of premises” item.</w:t>
            </w:r>
            <w:r>
              <w:rPr>
                <w:rFonts w:ascii="Times New Roman" w:hAnsi="Times New Roman"/>
                <w:sz w:val="20"/>
                <w:szCs w:val="20"/>
              </w:rPr>
              <w:br/>
              <w:t xml:space="preserve"> </w:t>
            </w:r>
          </w:p>
        </w:tc>
      </w:tr>
      <w:tr w:rsidR="00D84A9D" w:rsidRPr="004923B3" w:rsidTr="000331B4">
        <w:trPr>
          <w:trHeight w:val="630"/>
        </w:trPr>
        <w:tc>
          <w:tcPr>
            <w:tcW w:w="671" w:type="dxa"/>
            <w:shd w:val="clear" w:color="auto" w:fill="auto"/>
            <w:vAlign w:val="center"/>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8. 3</w:t>
            </w:r>
          </w:p>
        </w:tc>
        <w:tc>
          <w:tcPr>
            <w:tcW w:w="2757" w:type="dxa"/>
            <w:shd w:val="clear" w:color="auto" w:fill="auto"/>
            <w:vAlign w:val="center"/>
          </w:tcPr>
          <w:p w:rsidR="00D84A9D" w:rsidRPr="00401336" w:rsidRDefault="00D84A9D" w:rsidP="00347DD5">
            <w:pPr>
              <w:spacing w:after="0" w:line="240" w:lineRule="auto"/>
              <w:outlineLvl w:val="0"/>
              <w:rPr>
                <w:rFonts w:ascii="Times New Roman" w:eastAsia="Times New Roman" w:hAnsi="Times New Roman"/>
                <w:iCs/>
                <w:sz w:val="20"/>
                <w:szCs w:val="20"/>
              </w:rPr>
            </w:pPr>
            <w:r w:rsidRPr="00401336">
              <w:rPr>
                <w:rFonts w:ascii="Times New Roman" w:hAnsi="Times New Roman"/>
                <w:iCs/>
                <w:sz w:val="20"/>
                <w:szCs w:val="20"/>
              </w:rPr>
              <w:t>Expenses for vehicles</w:t>
            </w:r>
          </w:p>
        </w:tc>
        <w:tc>
          <w:tcPr>
            <w:tcW w:w="1197" w:type="dxa"/>
            <w:shd w:val="clear" w:color="auto" w:fill="auto"/>
            <w:vAlign w:val="center"/>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w:t>
            </w:r>
          </w:p>
        </w:tc>
        <w:tc>
          <w:tcPr>
            <w:tcW w:w="2043" w:type="dxa"/>
            <w:shd w:val="clear" w:color="auto" w:fill="auto"/>
            <w:vAlign w:val="center"/>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2</w:t>
            </w:r>
            <w:r w:rsidR="00F7539A">
              <w:rPr>
                <w:rFonts w:ascii="Times New Roman" w:hAnsi="Times New Roman"/>
                <w:i/>
                <w:iCs/>
                <w:sz w:val="20"/>
                <w:szCs w:val="20"/>
              </w:rPr>
              <w:t xml:space="preserve"> </w:t>
            </w:r>
            <w:r>
              <w:rPr>
                <w:rFonts w:ascii="Times New Roman" w:hAnsi="Times New Roman"/>
                <w:i/>
                <w:iCs/>
                <w:sz w:val="20"/>
                <w:szCs w:val="20"/>
              </w:rPr>
              <w:t>012</w:t>
            </w:r>
          </w:p>
        </w:tc>
        <w:tc>
          <w:tcPr>
            <w:tcW w:w="1701" w:type="dxa"/>
            <w:shd w:val="clear" w:color="auto" w:fill="auto"/>
            <w:vAlign w:val="center"/>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3</w:t>
            </w:r>
            <w:r w:rsidR="00F7539A">
              <w:rPr>
                <w:rFonts w:ascii="Times New Roman" w:hAnsi="Times New Roman"/>
                <w:i/>
                <w:iCs/>
                <w:sz w:val="20"/>
                <w:szCs w:val="20"/>
              </w:rPr>
              <w:t xml:space="preserve"> </w:t>
            </w:r>
            <w:r>
              <w:rPr>
                <w:rFonts w:ascii="Times New Roman" w:hAnsi="Times New Roman"/>
                <w:i/>
                <w:iCs/>
                <w:sz w:val="20"/>
                <w:szCs w:val="20"/>
              </w:rPr>
              <w:t>511</w:t>
            </w:r>
          </w:p>
        </w:tc>
        <w:tc>
          <w:tcPr>
            <w:tcW w:w="1559" w:type="dxa"/>
            <w:shd w:val="clear" w:color="auto" w:fill="auto"/>
            <w:vAlign w:val="center"/>
          </w:tcPr>
          <w:p w:rsidR="00D84A9D" w:rsidRPr="004923B3" w:rsidRDefault="00D84A9D" w:rsidP="00347DD5">
            <w:pPr>
              <w:spacing w:after="0" w:line="240" w:lineRule="auto"/>
              <w:jc w:val="center"/>
              <w:outlineLvl w:val="0"/>
              <w:rPr>
                <w:rFonts w:ascii="Times New Roman" w:eastAsia="Times New Roman" w:hAnsi="Times New Roman"/>
                <w:sz w:val="20"/>
                <w:szCs w:val="20"/>
              </w:rPr>
            </w:pPr>
            <w:r>
              <w:rPr>
                <w:rFonts w:ascii="Times New Roman" w:hAnsi="Times New Roman"/>
                <w:sz w:val="20"/>
                <w:szCs w:val="20"/>
              </w:rPr>
              <w:t>174%</w:t>
            </w:r>
          </w:p>
        </w:tc>
        <w:tc>
          <w:tcPr>
            <w:tcW w:w="3969" w:type="dxa"/>
            <w:shd w:val="clear" w:color="auto" w:fill="auto"/>
            <w:vAlign w:val="center"/>
          </w:tcPr>
          <w:p w:rsidR="00D84A9D" w:rsidRPr="004923B3" w:rsidRDefault="00D84A9D" w:rsidP="00347DD5">
            <w:pPr>
              <w:spacing w:after="0" w:line="240" w:lineRule="auto"/>
              <w:outlineLvl w:val="0"/>
              <w:rPr>
                <w:rFonts w:ascii="Times New Roman" w:eastAsia="Times New Roman" w:hAnsi="Times New Roman"/>
                <w:sz w:val="20"/>
                <w:szCs w:val="20"/>
              </w:rPr>
            </w:pPr>
            <w:r>
              <w:rPr>
                <w:rFonts w:ascii="Times New Roman" w:hAnsi="Times New Roman"/>
                <w:sz w:val="20"/>
                <w:szCs w:val="20"/>
              </w:rPr>
              <w:t>The costs have increased due to a rise in the cost of consumables for maintenance and repair of vehicles in the reporting period.</w:t>
            </w:r>
          </w:p>
        </w:tc>
      </w:tr>
      <w:tr w:rsidR="00D84A9D" w:rsidRPr="004923B3" w:rsidTr="000331B4">
        <w:trPr>
          <w:trHeight w:val="945"/>
        </w:trPr>
        <w:tc>
          <w:tcPr>
            <w:tcW w:w="67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8. 4</w:t>
            </w:r>
          </w:p>
        </w:tc>
        <w:tc>
          <w:tcPr>
            <w:tcW w:w="2757" w:type="dxa"/>
            <w:shd w:val="clear" w:color="auto" w:fill="auto"/>
            <w:vAlign w:val="center"/>
            <w:hideMark/>
          </w:tcPr>
          <w:p w:rsidR="00D84A9D" w:rsidRPr="00401336" w:rsidRDefault="00D84A9D" w:rsidP="00347DD5">
            <w:pPr>
              <w:spacing w:after="0" w:line="240" w:lineRule="auto"/>
              <w:outlineLvl w:val="0"/>
              <w:rPr>
                <w:rFonts w:ascii="Times New Roman" w:eastAsia="Times New Roman" w:hAnsi="Times New Roman"/>
                <w:iCs/>
                <w:sz w:val="20"/>
                <w:szCs w:val="20"/>
              </w:rPr>
            </w:pPr>
            <w:r w:rsidRPr="00401336">
              <w:rPr>
                <w:rFonts w:ascii="Times New Roman" w:hAnsi="Times New Roman"/>
                <w:iCs/>
                <w:sz w:val="20"/>
                <w:szCs w:val="20"/>
              </w:rPr>
              <w:t>Expenses for development, acquisition, subscription of regulatory and technical documentation and technical publications.</w:t>
            </w:r>
          </w:p>
        </w:tc>
        <w:tc>
          <w:tcPr>
            <w:tcW w:w="1197"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w:t>
            </w:r>
          </w:p>
        </w:tc>
        <w:tc>
          <w:tcPr>
            <w:tcW w:w="170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0</w:t>
            </w:r>
          </w:p>
        </w:tc>
        <w:tc>
          <w:tcPr>
            <w:tcW w:w="1559"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jc w:val="right"/>
              <w:outlineLvl w:val="0"/>
              <w:rPr>
                <w:rFonts w:ascii="Times New Roman" w:eastAsia="Times New Roman" w:hAnsi="Times New Roman"/>
                <w:i/>
                <w:iCs/>
                <w:sz w:val="20"/>
                <w:szCs w:val="20"/>
              </w:rPr>
            </w:pPr>
            <w:r>
              <w:rPr>
                <w:rFonts w:ascii="Times New Roman" w:hAnsi="Times New Roman"/>
                <w:i/>
                <w:iCs/>
                <w:sz w:val="20"/>
                <w:szCs w:val="20"/>
              </w:rPr>
              <w:t> </w:t>
            </w:r>
          </w:p>
        </w:tc>
      </w:tr>
      <w:tr w:rsidR="00D84A9D" w:rsidRPr="004923B3" w:rsidTr="000331B4">
        <w:trPr>
          <w:trHeight w:val="945"/>
        </w:trPr>
        <w:tc>
          <w:tcPr>
            <w:tcW w:w="67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8. 5</w:t>
            </w:r>
          </w:p>
        </w:tc>
        <w:tc>
          <w:tcPr>
            <w:tcW w:w="2757" w:type="dxa"/>
            <w:shd w:val="clear" w:color="auto" w:fill="auto"/>
            <w:vAlign w:val="center"/>
            <w:hideMark/>
          </w:tcPr>
          <w:p w:rsidR="00D84A9D" w:rsidRPr="00401336" w:rsidRDefault="00D84A9D" w:rsidP="00347DD5">
            <w:pPr>
              <w:spacing w:after="0" w:line="240" w:lineRule="auto"/>
              <w:outlineLvl w:val="0"/>
              <w:rPr>
                <w:rFonts w:ascii="Times New Roman" w:eastAsia="Times New Roman" w:hAnsi="Times New Roman"/>
                <w:iCs/>
                <w:sz w:val="20"/>
                <w:szCs w:val="20"/>
              </w:rPr>
            </w:pPr>
            <w:r w:rsidRPr="00401336">
              <w:rPr>
                <w:rFonts w:ascii="Times New Roman" w:hAnsi="Times New Roman"/>
                <w:iCs/>
                <w:sz w:val="20"/>
                <w:szCs w:val="20"/>
              </w:rPr>
              <w:t xml:space="preserve">Land-related costs within the period of main gas pipeline operation. </w:t>
            </w:r>
          </w:p>
        </w:tc>
        <w:tc>
          <w:tcPr>
            <w:tcW w:w="1197"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w:t>
            </w:r>
          </w:p>
        </w:tc>
        <w:tc>
          <w:tcPr>
            <w:tcW w:w="170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4</w:t>
            </w:r>
            <w:r w:rsidR="00F7539A">
              <w:rPr>
                <w:rFonts w:ascii="Times New Roman" w:hAnsi="Times New Roman"/>
                <w:i/>
                <w:iCs/>
                <w:sz w:val="20"/>
                <w:szCs w:val="20"/>
              </w:rPr>
              <w:t xml:space="preserve"> </w:t>
            </w:r>
            <w:r>
              <w:rPr>
                <w:rFonts w:ascii="Times New Roman" w:hAnsi="Times New Roman"/>
                <w:i/>
                <w:iCs/>
                <w:sz w:val="20"/>
                <w:szCs w:val="20"/>
              </w:rPr>
              <w:t>210</w:t>
            </w:r>
          </w:p>
        </w:tc>
        <w:tc>
          <w:tcPr>
            <w:tcW w:w="1559"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outlineLvl w:val="0"/>
              <w:rPr>
                <w:rFonts w:ascii="Times New Roman" w:eastAsia="Times New Roman" w:hAnsi="Times New Roman"/>
                <w:sz w:val="20"/>
                <w:szCs w:val="20"/>
              </w:rPr>
            </w:pPr>
            <w:r>
              <w:rPr>
                <w:rFonts w:ascii="Times New Roman" w:hAnsi="Times New Roman"/>
                <w:sz w:val="20"/>
                <w:szCs w:val="20"/>
              </w:rPr>
              <w:t>These costs are not provided in the tariff estimate.</w:t>
            </w:r>
          </w:p>
        </w:tc>
      </w:tr>
      <w:tr w:rsidR="00D84A9D" w:rsidRPr="004923B3" w:rsidTr="000331B4">
        <w:trPr>
          <w:trHeight w:val="630"/>
        </w:trPr>
        <w:tc>
          <w:tcPr>
            <w:tcW w:w="67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8. 6</w:t>
            </w:r>
          </w:p>
        </w:tc>
        <w:tc>
          <w:tcPr>
            <w:tcW w:w="2757" w:type="dxa"/>
            <w:shd w:val="clear" w:color="auto" w:fill="auto"/>
            <w:vAlign w:val="center"/>
            <w:hideMark/>
          </w:tcPr>
          <w:p w:rsidR="00D84A9D" w:rsidRPr="00401336" w:rsidRDefault="00D84A9D" w:rsidP="00347DD5">
            <w:pPr>
              <w:spacing w:after="0" w:line="240" w:lineRule="auto"/>
              <w:outlineLvl w:val="0"/>
              <w:rPr>
                <w:rFonts w:ascii="Times New Roman" w:eastAsia="Times New Roman" w:hAnsi="Times New Roman"/>
                <w:iCs/>
                <w:sz w:val="20"/>
                <w:szCs w:val="20"/>
              </w:rPr>
            </w:pPr>
            <w:r w:rsidRPr="00401336">
              <w:rPr>
                <w:rFonts w:ascii="Times New Roman" w:hAnsi="Times New Roman"/>
                <w:iCs/>
                <w:sz w:val="20"/>
                <w:szCs w:val="20"/>
              </w:rPr>
              <w:t>Auxiliary personnel services (recruiting)</w:t>
            </w:r>
          </w:p>
        </w:tc>
        <w:tc>
          <w:tcPr>
            <w:tcW w:w="1197"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w:t>
            </w:r>
          </w:p>
        </w:tc>
        <w:tc>
          <w:tcPr>
            <w:tcW w:w="170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12</w:t>
            </w:r>
            <w:r w:rsidR="00F7539A">
              <w:rPr>
                <w:rFonts w:ascii="Times New Roman" w:hAnsi="Times New Roman"/>
                <w:i/>
                <w:iCs/>
                <w:sz w:val="20"/>
                <w:szCs w:val="20"/>
              </w:rPr>
              <w:t xml:space="preserve"> </w:t>
            </w:r>
            <w:r>
              <w:rPr>
                <w:rFonts w:ascii="Times New Roman" w:hAnsi="Times New Roman"/>
                <w:i/>
                <w:iCs/>
                <w:sz w:val="20"/>
                <w:szCs w:val="20"/>
              </w:rPr>
              <w:t>625</w:t>
            </w:r>
          </w:p>
        </w:tc>
        <w:tc>
          <w:tcPr>
            <w:tcW w:w="1559"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outlineLvl w:val="0"/>
              <w:rPr>
                <w:rFonts w:ascii="Times New Roman" w:eastAsia="Times New Roman" w:hAnsi="Times New Roman"/>
                <w:sz w:val="20"/>
                <w:szCs w:val="20"/>
              </w:rPr>
            </w:pPr>
            <w:r>
              <w:rPr>
                <w:rFonts w:ascii="Times New Roman" w:hAnsi="Times New Roman"/>
                <w:sz w:val="20"/>
                <w:szCs w:val="20"/>
              </w:rPr>
              <w:t>These costs are not provided in the tariff estimate.</w:t>
            </w:r>
          </w:p>
        </w:tc>
      </w:tr>
      <w:tr w:rsidR="00D84A9D" w:rsidRPr="004923B3" w:rsidTr="000331B4">
        <w:trPr>
          <w:trHeight w:val="480"/>
        </w:trPr>
        <w:tc>
          <w:tcPr>
            <w:tcW w:w="67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8. 7</w:t>
            </w:r>
          </w:p>
        </w:tc>
        <w:tc>
          <w:tcPr>
            <w:tcW w:w="2757" w:type="dxa"/>
            <w:shd w:val="clear" w:color="auto" w:fill="auto"/>
            <w:vAlign w:val="center"/>
            <w:hideMark/>
          </w:tcPr>
          <w:p w:rsidR="00D84A9D" w:rsidRPr="00401336" w:rsidRDefault="00D84A9D" w:rsidP="00347DD5">
            <w:pPr>
              <w:spacing w:after="0" w:line="240" w:lineRule="auto"/>
              <w:outlineLvl w:val="0"/>
              <w:rPr>
                <w:rFonts w:ascii="Times New Roman" w:eastAsia="Times New Roman" w:hAnsi="Times New Roman"/>
                <w:iCs/>
                <w:sz w:val="20"/>
                <w:szCs w:val="20"/>
              </w:rPr>
            </w:pPr>
            <w:r w:rsidRPr="00401336">
              <w:rPr>
                <w:rFonts w:ascii="Times New Roman" w:hAnsi="Times New Roman"/>
                <w:iCs/>
                <w:sz w:val="20"/>
                <w:szCs w:val="20"/>
              </w:rPr>
              <w:t>Shift camps expenses</w:t>
            </w:r>
          </w:p>
        </w:tc>
        <w:tc>
          <w:tcPr>
            <w:tcW w:w="1197"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w:t>
            </w:r>
          </w:p>
        </w:tc>
        <w:tc>
          <w:tcPr>
            <w:tcW w:w="170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0</w:t>
            </w:r>
          </w:p>
        </w:tc>
        <w:tc>
          <w:tcPr>
            <w:tcW w:w="1559"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jc w:val="right"/>
              <w:outlineLvl w:val="0"/>
              <w:rPr>
                <w:rFonts w:ascii="Times New Roman" w:eastAsia="Times New Roman" w:hAnsi="Times New Roman"/>
                <w:i/>
                <w:iCs/>
                <w:sz w:val="20"/>
                <w:szCs w:val="20"/>
              </w:rPr>
            </w:pPr>
            <w:r>
              <w:rPr>
                <w:rFonts w:ascii="Times New Roman" w:hAnsi="Times New Roman"/>
                <w:i/>
                <w:iCs/>
                <w:sz w:val="20"/>
                <w:szCs w:val="20"/>
              </w:rPr>
              <w:t> </w:t>
            </w:r>
          </w:p>
        </w:tc>
      </w:tr>
      <w:tr w:rsidR="00D84A9D"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8. 8</w:t>
            </w:r>
          </w:p>
        </w:tc>
        <w:tc>
          <w:tcPr>
            <w:tcW w:w="2757" w:type="dxa"/>
            <w:shd w:val="clear" w:color="auto" w:fill="auto"/>
            <w:vAlign w:val="center"/>
            <w:hideMark/>
          </w:tcPr>
          <w:p w:rsidR="00D84A9D" w:rsidRPr="00401336" w:rsidRDefault="00D84A9D" w:rsidP="00347DD5">
            <w:pPr>
              <w:spacing w:after="0" w:line="240" w:lineRule="auto"/>
              <w:outlineLvl w:val="0"/>
              <w:rPr>
                <w:rFonts w:ascii="Times New Roman" w:eastAsia="Times New Roman" w:hAnsi="Times New Roman"/>
                <w:iCs/>
                <w:sz w:val="20"/>
                <w:szCs w:val="20"/>
              </w:rPr>
            </w:pPr>
            <w:r w:rsidRPr="00401336">
              <w:rPr>
                <w:rFonts w:ascii="Times New Roman" w:hAnsi="Times New Roman"/>
                <w:iCs/>
                <w:sz w:val="20"/>
                <w:szCs w:val="20"/>
              </w:rPr>
              <w:t xml:space="preserve">Power supply </w:t>
            </w:r>
          </w:p>
        </w:tc>
        <w:tc>
          <w:tcPr>
            <w:tcW w:w="1197"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 </w:t>
            </w:r>
          </w:p>
        </w:tc>
        <w:tc>
          <w:tcPr>
            <w:tcW w:w="2043"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lang w:eastAsia="ru-RU"/>
              </w:rPr>
            </w:pPr>
          </w:p>
        </w:tc>
        <w:tc>
          <w:tcPr>
            <w:tcW w:w="170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0</w:t>
            </w:r>
          </w:p>
        </w:tc>
        <w:tc>
          <w:tcPr>
            <w:tcW w:w="1559"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jc w:val="right"/>
              <w:outlineLvl w:val="0"/>
              <w:rPr>
                <w:rFonts w:ascii="Times New Roman" w:eastAsia="Times New Roman" w:hAnsi="Times New Roman"/>
                <w:i/>
                <w:iCs/>
                <w:sz w:val="20"/>
                <w:szCs w:val="20"/>
              </w:rPr>
            </w:pPr>
            <w:r>
              <w:rPr>
                <w:rFonts w:ascii="Times New Roman" w:hAnsi="Times New Roman"/>
                <w:i/>
                <w:iCs/>
                <w:sz w:val="20"/>
                <w:szCs w:val="20"/>
              </w:rPr>
              <w:t> </w:t>
            </w:r>
          </w:p>
        </w:tc>
      </w:tr>
      <w:tr w:rsidR="00D84A9D"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8. 9</w:t>
            </w:r>
          </w:p>
        </w:tc>
        <w:tc>
          <w:tcPr>
            <w:tcW w:w="2757" w:type="dxa"/>
            <w:shd w:val="clear" w:color="auto" w:fill="auto"/>
            <w:vAlign w:val="center"/>
            <w:hideMark/>
          </w:tcPr>
          <w:p w:rsidR="00D84A9D" w:rsidRPr="00401336" w:rsidRDefault="004134FE" w:rsidP="004134FE">
            <w:pPr>
              <w:spacing w:after="0" w:line="240" w:lineRule="auto"/>
              <w:outlineLvl w:val="0"/>
              <w:rPr>
                <w:rFonts w:ascii="Times New Roman" w:eastAsia="Times New Roman" w:hAnsi="Times New Roman"/>
                <w:iCs/>
                <w:sz w:val="20"/>
                <w:szCs w:val="20"/>
              </w:rPr>
            </w:pPr>
            <w:r>
              <w:rPr>
                <w:rFonts w:ascii="Times New Roman" w:hAnsi="Times New Roman"/>
                <w:iCs/>
                <w:sz w:val="20"/>
                <w:szCs w:val="20"/>
              </w:rPr>
              <w:t>Clerical expenses</w:t>
            </w:r>
          </w:p>
        </w:tc>
        <w:tc>
          <w:tcPr>
            <w:tcW w:w="1197"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 </w:t>
            </w:r>
          </w:p>
        </w:tc>
        <w:tc>
          <w:tcPr>
            <w:tcW w:w="2043"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lang w:eastAsia="ru-RU"/>
              </w:rPr>
            </w:pPr>
          </w:p>
        </w:tc>
        <w:tc>
          <w:tcPr>
            <w:tcW w:w="1701"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i/>
                <w:iCs/>
                <w:sz w:val="20"/>
                <w:szCs w:val="20"/>
              </w:rPr>
            </w:pPr>
            <w:r>
              <w:rPr>
                <w:rFonts w:ascii="Times New Roman" w:hAnsi="Times New Roman"/>
                <w:i/>
                <w:iCs/>
                <w:sz w:val="20"/>
                <w:szCs w:val="20"/>
              </w:rPr>
              <w:t>0</w:t>
            </w:r>
          </w:p>
        </w:tc>
        <w:tc>
          <w:tcPr>
            <w:tcW w:w="1559" w:type="dxa"/>
            <w:shd w:val="clear" w:color="auto" w:fill="auto"/>
            <w:vAlign w:val="center"/>
            <w:hideMark/>
          </w:tcPr>
          <w:p w:rsidR="00D84A9D" w:rsidRPr="004923B3" w:rsidRDefault="00D84A9D" w:rsidP="00347DD5">
            <w:pPr>
              <w:spacing w:after="0" w:line="240" w:lineRule="auto"/>
              <w:jc w:val="center"/>
              <w:outlineLvl w:val="0"/>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jc w:val="right"/>
              <w:outlineLvl w:val="0"/>
              <w:rPr>
                <w:rFonts w:ascii="Times New Roman" w:eastAsia="Times New Roman" w:hAnsi="Times New Roman"/>
                <w:i/>
                <w:iCs/>
                <w:sz w:val="20"/>
                <w:szCs w:val="20"/>
              </w:rPr>
            </w:pPr>
            <w:r>
              <w:rPr>
                <w:rFonts w:ascii="Times New Roman" w:hAnsi="Times New Roman"/>
                <w:i/>
                <w:iCs/>
                <w:sz w:val="20"/>
                <w:szCs w:val="20"/>
              </w:rPr>
              <w:t> </w:t>
            </w:r>
          </w:p>
        </w:tc>
      </w:tr>
      <w:tr w:rsidR="000331B4" w:rsidRPr="004923B3" w:rsidTr="000331B4">
        <w:trPr>
          <w:trHeight w:val="315"/>
        </w:trPr>
        <w:tc>
          <w:tcPr>
            <w:tcW w:w="671"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b/>
                <w:sz w:val="20"/>
                <w:szCs w:val="20"/>
              </w:rPr>
            </w:pPr>
            <w:r>
              <w:rPr>
                <w:rFonts w:ascii="Times New Roman" w:hAnsi="Times New Roman"/>
                <w:b/>
                <w:sz w:val="20"/>
                <w:szCs w:val="20"/>
              </w:rPr>
              <w:t>II</w:t>
            </w:r>
          </w:p>
        </w:tc>
        <w:tc>
          <w:tcPr>
            <w:tcW w:w="2757"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b/>
                <w:sz w:val="20"/>
                <w:szCs w:val="20"/>
              </w:rPr>
            </w:pPr>
            <w:r>
              <w:rPr>
                <w:rFonts w:ascii="Times New Roman" w:hAnsi="Times New Roman"/>
                <w:b/>
                <w:sz w:val="20"/>
                <w:szCs w:val="20"/>
              </w:rPr>
              <w:t>Costs for the period, total</w:t>
            </w:r>
          </w:p>
        </w:tc>
        <w:tc>
          <w:tcPr>
            <w:tcW w:w="1197"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b/>
                <w:sz w:val="20"/>
                <w:szCs w:val="20"/>
              </w:rPr>
            </w:pPr>
            <w:r>
              <w:rPr>
                <w:rFonts w:ascii="Times New Roman" w:hAnsi="Times New Roman"/>
                <w:b/>
                <w:sz w:val="20"/>
                <w:szCs w:val="20"/>
              </w:rPr>
              <w:t>-//-</w:t>
            </w:r>
          </w:p>
        </w:tc>
        <w:tc>
          <w:tcPr>
            <w:tcW w:w="2043"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b/>
                <w:sz w:val="20"/>
                <w:szCs w:val="20"/>
              </w:rPr>
            </w:pPr>
            <w:r>
              <w:rPr>
                <w:rFonts w:ascii="Times New Roman" w:hAnsi="Times New Roman"/>
                <w:b/>
                <w:sz w:val="20"/>
                <w:szCs w:val="20"/>
              </w:rPr>
              <w:t>2</w:t>
            </w:r>
            <w:r w:rsidR="00F7539A">
              <w:rPr>
                <w:rFonts w:ascii="Times New Roman" w:hAnsi="Times New Roman"/>
                <w:b/>
                <w:sz w:val="20"/>
                <w:szCs w:val="20"/>
              </w:rPr>
              <w:t xml:space="preserve"> </w:t>
            </w:r>
            <w:r>
              <w:rPr>
                <w:rFonts w:ascii="Times New Roman" w:hAnsi="Times New Roman"/>
                <w:b/>
                <w:sz w:val="20"/>
                <w:szCs w:val="20"/>
              </w:rPr>
              <w:t>503</w:t>
            </w:r>
            <w:r w:rsidR="00F7539A">
              <w:rPr>
                <w:rFonts w:ascii="Times New Roman" w:hAnsi="Times New Roman"/>
                <w:b/>
                <w:sz w:val="20"/>
                <w:szCs w:val="20"/>
              </w:rPr>
              <w:t xml:space="preserve"> </w:t>
            </w:r>
            <w:r>
              <w:rPr>
                <w:rFonts w:ascii="Times New Roman" w:hAnsi="Times New Roman"/>
                <w:b/>
                <w:sz w:val="20"/>
                <w:szCs w:val="20"/>
              </w:rPr>
              <w:t>297</w:t>
            </w:r>
          </w:p>
        </w:tc>
        <w:tc>
          <w:tcPr>
            <w:tcW w:w="1701"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b/>
                <w:sz w:val="20"/>
                <w:szCs w:val="20"/>
              </w:rPr>
            </w:pPr>
            <w:r>
              <w:rPr>
                <w:rFonts w:ascii="Times New Roman" w:hAnsi="Times New Roman"/>
                <w:b/>
                <w:sz w:val="20"/>
                <w:szCs w:val="20"/>
              </w:rPr>
              <w:t>6</w:t>
            </w:r>
            <w:r w:rsidR="00F7539A">
              <w:rPr>
                <w:rFonts w:ascii="Times New Roman" w:hAnsi="Times New Roman"/>
                <w:b/>
                <w:sz w:val="20"/>
                <w:szCs w:val="20"/>
              </w:rPr>
              <w:t xml:space="preserve"> </w:t>
            </w:r>
            <w:r>
              <w:rPr>
                <w:rFonts w:ascii="Times New Roman" w:hAnsi="Times New Roman"/>
                <w:b/>
                <w:sz w:val="20"/>
                <w:szCs w:val="20"/>
              </w:rPr>
              <w:t>901</w:t>
            </w:r>
            <w:r w:rsidR="00F7539A">
              <w:rPr>
                <w:rFonts w:ascii="Times New Roman" w:hAnsi="Times New Roman"/>
                <w:b/>
                <w:sz w:val="20"/>
                <w:szCs w:val="20"/>
              </w:rPr>
              <w:t xml:space="preserve"> </w:t>
            </w:r>
            <w:r>
              <w:rPr>
                <w:rFonts w:ascii="Times New Roman" w:hAnsi="Times New Roman"/>
                <w:b/>
                <w:sz w:val="20"/>
                <w:szCs w:val="20"/>
              </w:rPr>
              <w:t>902</w:t>
            </w:r>
          </w:p>
        </w:tc>
        <w:tc>
          <w:tcPr>
            <w:tcW w:w="1559"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b/>
                <w:sz w:val="20"/>
                <w:szCs w:val="20"/>
              </w:rPr>
            </w:pPr>
            <w:r>
              <w:rPr>
                <w:rFonts w:ascii="Times New Roman" w:hAnsi="Times New Roman"/>
                <w:b/>
                <w:sz w:val="20"/>
                <w:szCs w:val="20"/>
              </w:rPr>
              <w:t>276%</w:t>
            </w:r>
          </w:p>
        </w:tc>
        <w:tc>
          <w:tcPr>
            <w:tcW w:w="3969"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b/>
                <w:sz w:val="20"/>
                <w:szCs w:val="20"/>
              </w:rPr>
            </w:pPr>
            <w:r>
              <w:rPr>
                <w:rFonts w:ascii="Times New Roman" w:hAnsi="Times New Roman"/>
                <w:b/>
                <w:sz w:val="20"/>
                <w:szCs w:val="20"/>
              </w:rPr>
              <w:t> </w:t>
            </w:r>
          </w:p>
        </w:tc>
      </w:tr>
      <w:tr w:rsidR="000331B4"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 </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Including:</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 </w:t>
            </w:r>
          </w:p>
        </w:tc>
        <w:tc>
          <w:tcPr>
            <w:tcW w:w="2043" w:type="dxa"/>
            <w:shd w:val="clear" w:color="auto" w:fill="auto"/>
            <w:noWrap/>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jc w:val="right"/>
              <w:rPr>
                <w:rFonts w:ascii="Times New Roman" w:eastAsia="Times New Roman" w:hAnsi="Times New Roman"/>
                <w:sz w:val="20"/>
                <w:szCs w:val="20"/>
              </w:rPr>
            </w:pPr>
            <w:r>
              <w:rPr>
                <w:rFonts w:ascii="Times New Roman" w:hAnsi="Times New Roman"/>
                <w:sz w:val="20"/>
                <w:szCs w:val="20"/>
              </w:rPr>
              <w:t> </w:t>
            </w:r>
          </w:p>
        </w:tc>
      </w:tr>
      <w:tr w:rsidR="000331B4" w:rsidRPr="004923B3" w:rsidTr="000331B4">
        <w:trPr>
          <w:trHeight w:val="63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General and administrative costs, total</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967</w:t>
            </w:r>
            <w:r w:rsidR="00F7539A">
              <w:rPr>
                <w:rFonts w:ascii="Times New Roman" w:hAnsi="Times New Roman"/>
                <w:sz w:val="20"/>
                <w:szCs w:val="20"/>
              </w:rPr>
              <w:t xml:space="preserve"> </w:t>
            </w:r>
            <w:r>
              <w:rPr>
                <w:rFonts w:ascii="Times New Roman" w:hAnsi="Times New Roman"/>
                <w:sz w:val="20"/>
                <w:szCs w:val="20"/>
              </w:rPr>
              <w:t>211</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w:t>
            </w:r>
            <w:r w:rsidR="00F7539A">
              <w:rPr>
                <w:rFonts w:ascii="Times New Roman" w:hAnsi="Times New Roman"/>
                <w:sz w:val="20"/>
                <w:szCs w:val="20"/>
              </w:rPr>
              <w:t xml:space="preserve"> </w:t>
            </w:r>
            <w:r>
              <w:rPr>
                <w:rFonts w:ascii="Times New Roman" w:hAnsi="Times New Roman"/>
                <w:sz w:val="20"/>
                <w:szCs w:val="20"/>
              </w:rPr>
              <w:t>457</w:t>
            </w:r>
            <w:r w:rsidR="00F7539A">
              <w:rPr>
                <w:rFonts w:ascii="Times New Roman" w:hAnsi="Times New Roman"/>
                <w:sz w:val="20"/>
                <w:szCs w:val="20"/>
              </w:rPr>
              <w:t xml:space="preserve"> </w:t>
            </w:r>
            <w:r>
              <w:rPr>
                <w:rFonts w:ascii="Times New Roman" w:hAnsi="Times New Roman"/>
                <w:sz w:val="20"/>
                <w:szCs w:val="20"/>
              </w:rPr>
              <w:t>014</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151%</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 The main reason for the deviation is the inclusion in the salary fund of bonus payments based on the results of work for the month / quarter; holiday </w:t>
            </w:r>
            <w:r w:rsidR="00347DD5">
              <w:rPr>
                <w:rFonts w:ascii="Times New Roman" w:hAnsi="Times New Roman"/>
                <w:sz w:val="20"/>
                <w:szCs w:val="20"/>
              </w:rPr>
              <w:t>bonus</w:t>
            </w:r>
            <w:r>
              <w:rPr>
                <w:rFonts w:ascii="Times New Roman" w:hAnsi="Times New Roman"/>
                <w:sz w:val="20"/>
                <w:szCs w:val="20"/>
              </w:rPr>
              <w:t xml:space="preserve">; remunerations under the results of work for the reporting period; </w:t>
            </w:r>
            <w:r w:rsidR="00347DD5">
              <w:rPr>
                <w:rFonts w:ascii="Times New Roman" w:hAnsi="Times New Roman"/>
                <w:sz w:val="20"/>
                <w:szCs w:val="20"/>
              </w:rPr>
              <w:t>financial support</w:t>
            </w:r>
            <w:r>
              <w:rPr>
                <w:rFonts w:ascii="Times New Roman" w:hAnsi="Times New Roman"/>
                <w:sz w:val="20"/>
                <w:szCs w:val="20"/>
              </w:rPr>
              <w:t xml:space="preserve"> for leave, which in turn resulted increase in tax deductions. </w:t>
            </w:r>
            <w:r>
              <w:rPr>
                <w:rFonts w:ascii="Times New Roman" w:hAnsi="Times New Roman"/>
                <w:sz w:val="20"/>
                <w:szCs w:val="20"/>
              </w:rPr>
              <w:cr/>
              <w:t xml:space="preserve"> </w:t>
            </w:r>
          </w:p>
        </w:tc>
      </w:tr>
      <w:tr w:rsidR="000331B4"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 </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including:</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 </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jc w:val="right"/>
              <w:rPr>
                <w:rFonts w:ascii="Times New Roman" w:eastAsia="Times New Roman" w:hAnsi="Times New Roman"/>
                <w:sz w:val="20"/>
                <w:szCs w:val="20"/>
              </w:rPr>
            </w:pPr>
            <w:r>
              <w:rPr>
                <w:rFonts w:ascii="Times New Roman" w:hAnsi="Times New Roman"/>
                <w:sz w:val="20"/>
                <w:szCs w:val="20"/>
              </w:rPr>
              <w:t> </w:t>
            </w:r>
          </w:p>
        </w:tc>
      </w:tr>
      <w:tr w:rsidR="000331B4" w:rsidRPr="004923B3" w:rsidTr="000331B4">
        <w:trPr>
          <w:trHeight w:val="195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lastRenderedPageBreak/>
              <w:t>9. 1</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Salary of the administrative personnel</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490</w:t>
            </w:r>
            <w:r w:rsidR="00F7539A">
              <w:rPr>
                <w:rFonts w:ascii="Times New Roman" w:hAnsi="Times New Roman"/>
                <w:sz w:val="20"/>
                <w:szCs w:val="20"/>
              </w:rPr>
              <w:t xml:space="preserve"> </w:t>
            </w:r>
            <w:r>
              <w:rPr>
                <w:rFonts w:ascii="Times New Roman" w:hAnsi="Times New Roman"/>
                <w:sz w:val="20"/>
                <w:szCs w:val="20"/>
              </w:rPr>
              <w:t>221</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836</w:t>
            </w:r>
            <w:r w:rsidR="00F7539A">
              <w:rPr>
                <w:rFonts w:ascii="Times New Roman" w:hAnsi="Times New Roman"/>
                <w:sz w:val="20"/>
                <w:szCs w:val="20"/>
              </w:rPr>
              <w:t xml:space="preserve"> </w:t>
            </w:r>
            <w:r>
              <w:rPr>
                <w:rFonts w:ascii="Times New Roman" w:hAnsi="Times New Roman"/>
                <w:sz w:val="20"/>
                <w:szCs w:val="20"/>
              </w:rPr>
              <w:t>356</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171%</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Expenses related to wages of employees increased due to the fact that the current tariff estimate does not include the costs of remuneration based on the results of work for the reporting period; financial support for annual leave. Besides, as per the approved tariff estimate the number of administrative and managerial personnel is 110 people. The actual average number for 2015 made - 114 people.  </w:t>
            </w:r>
          </w:p>
        </w:tc>
      </w:tr>
      <w:tr w:rsidR="000331B4" w:rsidRPr="004923B3" w:rsidTr="000331B4">
        <w:trPr>
          <w:trHeight w:val="315"/>
        </w:trPr>
        <w:tc>
          <w:tcPr>
            <w:tcW w:w="671"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9. 2</w:t>
            </w:r>
          </w:p>
        </w:tc>
        <w:tc>
          <w:tcPr>
            <w:tcW w:w="2757" w:type="dxa"/>
            <w:shd w:val="clear" w:color="auto" w:fill="auto"/>
            <w:vAlign w:val="center"/>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Hired personnel </w:t>
            </w:r>
          </w:p>
        </w:tc>
        <w:tc>
          <w:tcPr>
            <w:tcW w:w="1197"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49</w:t>
            </w:r>
            <w:r w:rsidR="00F7539A">
              <w:rPr>
                <w:rFonts w:ascii="Times New Roman" w:hAnsi="Times New Roman"/>
                <w:sz w:val="20"/>
                <w:szCs w:val="20"/>
              </w:rPr>
              <w:t xml:space="preserve"> </w:t>
            </w:r>
            <w:r>
              <w:rPr>
                <w:rFonts w:ascii="Times New Roman" w:hAnsi="Times New Roman"/>
                <w:sz w:val="20"/>
                <w:szCs w:val="20"/>
              </w:rPr>
              <w:t>892</w:t>
            </w:r>
          </w:p>
        </w:tc>
        <w:tc>
          <w:tcPr>
            <w:tcW w:w="1701"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76</w:t>
            </w:r>
            <w:r w:rsidR="00F7539A">
              <w:rPr>
                <w:rFonts w:ascii="Times New Roman" w:hAnsi="Times New Roman"/>
                <w:sz w:val="20"/>
                <w:szCs w:val="20"/>
              </w:rPr>
              <w:t xml:space="preserve"> </w:t>
            </w:r>
            <w:r>
              <w:rPr>
                <w:rFonts w:ascii="Times New Roman" w:hAnsi="Times New Roman"/>
                <w:sz w:val="20"/>
                <w:szCs w:val="20"/>
              </w:rPr>
              <w:t>346</w:t>
            </w:r>
          </w:p>
        </w:tc>
        <w:tc>
          <w:tcPr>
            <w:tcW w:w="1559"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153%</w:t>
            </w:r>
          </w:p>
        </w:tc>
        <w:tc>
          <w:tcPr>
            <w:tcW w:w="3969" w:type="dxa"/>
            <w:shd w:val="clear" w:color="auto" w:fill="auto"/>
            <w:vAlign w:val="center"/>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Over-execution is due to the fact that some units of hired personnel (translators, secretaries) have been e</w:t>
            </w:r>
            <w:r w:rsidR="00C01D1A">
              <w:rPr>
                <w:rFonts w:ascii="Times New Roman" w:hAnsi="Times New Roman"/>
                <w:sz w:val="20"/>
                <w:szCs w:val="20"/>
              </w:rPr>
              <w:t>xcluded by the authorized body.</w:t>
            </w:r>
            <w:r>
              <w:rPr>
                <w:rFonts w:ascii="Times New Roman" w:hAnsi="Times New Roman"/>
                <w:sz w:val="20"/>
                <w:szCs w:val="20"/>
              </w:rPr>
              <w:br/>
            </w:r>
          </w:p>
        </w:tc>
      </w:tr>
      <w:tr w:rsidR="000331B4"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9. 3</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Social tax</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48</w:t>
            </w:r>
            <w:r w:rsidR="00F7539A">
              <w:rPr>
                <w:rFonts w:ascii="Times New Roman" w:hAnsi="Times New Roman"/>
                <w:sz w:val="20"/>
                <w:szCs w:val="20"/>
              </w:rPr>
              <w:t xml:space="preserve"> </w:t>
            </w:r>
            <w:r>
              <w:rPr>
                <w:rFonts w:ascii="Times New Roman" w:hAnsi="Times New Roman"/>
                <w:sz w:val="20"/>
                <w:szCs w:val="20"/>
              </w:rPr>
              <w:t>532</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78</w:t>
            </w:r>
            <w:r w:rsidR="00F7539A">
              <w:rPr>
                <w:rFonts w:ascii="Times New Roman" w:hAnsi="Times New Roman"/>
                <w:sz w:val="20"/>
                <w:szCs w:val="20"/>
              </w:rPr>
              <w:t xml:space="preserve"> </w:t>
            </w:r>
            <w:r>
              <w:rPr>
                <w:rFonts w:ascii="Times New Roman" w:hAnsi="Times New Roman"/>
                <w:sz w:val="20"/>
                <w:szCs w:val="20"/>
              </w:rPr>
              <w:t>274</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161%</w:t>
            </w:r>
          </w:p>
        </w:tc>
        <w:tc>
          <w:tcPr>
            <w:tcW w:w="3969" w:type="dxa"/>
            <w:shd w:val="clear" w:color="auto" w:fill="auto"/>
            <w:vAlign w:val="center"/>
            <w:hideMark/>
          </w:tcPr>
          <w:p w:rsidR="00D84A9D" w:rsidRPr="004923B3" w:rsidRDefault="00D84A9D" w:rsidP="00347DD5">
            <w:pPr>
              <w:spacing w:after="0" w:line="240" w:lineRule="auto"/>
              <w:jc w:val="right"/>
              <w:rPr>
                <w:rFonts w:ascii="Times New Roman" w:eastAsia="Times New Roman" w:hAnsi="Times New Roman"/>
                <w:sz w:val="20"/>
                <w:szCs w:val="20"/>
              </w:rPr>
            </w:pPr>
            <w:r>
              <w:rPr>
                <w:rFonts w:ascii="Times New Roman" w:hAnsi="Times New Roman"/>
                <w:sz w:val="20"/>
                <w:szCs w:val="20"/>
              </w:rPr>
              <w:t> </w:t>
            </w:r>
          </w:p>
        </w:tc>
      </w:tr>
      <w:tr w:rsidR="000331B4"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9. 4</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Depreciation</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45</w:t>
            </w:r>
            <w:r w:rsidR="00F7539A">
              <w:rPr>
                <w:rFonts w:ascii="Times New Roman" w:hAnsi="Times New Roman"/>
                <w:sz w:val="20"/>
                <w:szCs w:val="20"/>
              </w:rPr>
              <w:t xml:space="preserve"> </w:t>
            </w:r>
            <w:r>
              <w:rPr>
                <w:rFonts w:ascii="Times New Roman" w:hAnsi="Times New Roman"/>
                <w:sz w:val="20"/>
                <w:szCs w:val="20"/>
              </w:rPr>
              <w:t>613</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54</w:t>
            </w:r>
            <w:r w:rsidR="00F7539A">
              <w:rPr>
                <w:rFonts w:ascii="Times New Roman" w:hAnsi="Times New Roman"/>
                <w:sz w:val="20"/>
                <w:szCs w:val="20"/>
              </w:rPr>
              <w:t xml:space="preserve"> </w:t>
            </w:r>
            <w:r>
              <w:rPr>
                <w:rFonts w:ascii="Times New Roman" w:hAnsi="Times New Roman"/>
                <w:sz w:val="20"/>
                <w:szCs w:val="20"/>
              </w:rPr>
              <w:t>540</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120%</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The amount of depreciation  has increased due to acquisition of new fixes assets.</w:t>
            </w:r>
          </w:p>
        </w:tc>
      </w:tr>
      <w:tr w:rsidR="000331B4" w:rsidRPr="004923B3" w:rsidTr="000331B4">
        <w:trPr>
          <w:trHeight w:val="63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9. 5</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Rent of offices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155</w:t>
            </w:r>
            <w:r w:rsidR="00F7539A">
              <w:rPr>
                <w:rFonts w:ascii="Times New Roman" w:hAnsi="Times New Roman"/>
                <w:sz w:val="20"/>
                <w:szCs w:val="20"/>
              </w:rPr>
              <w:t xml:space="preserve"> </w:t>
            </w:r>
            <w:r>
              <w:rPr>
                <w:rFonts w:ascii="Times New Roman" w:hAnsi="Times New Roman"/>
                <w:sz w:val="20"/>
                <w:szCs w:val="20"/>
              </w:rPr>
              <w:t>737</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147</w:t>
            </w:r>
            <w:r w:rsidR="00F7539A">
              <w:rPr>
                <w:rFonts w:ascii="Times New Roman" w:hAnsi="Times New Roman"/>
                <w:sz w:val="20"/>
                <w:szCs w:val="20"/>
              </w:rPr>
              <w:t xml:space="preserve"> </w:t>
            </w:r>
            <w:r>
              <w:rPr>
                <w:rFonts w:ascii="Times New Roman" w:hAnsi="Times New Roman"/>
                <w:sz w:val="20"/>
                <w:szCs w:val="20"/>
              </w:rPr>
              <w:t>999</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95%</w:t>
            </w:r>
          </w:p>
        </w:tc>
        <w:tc>
          <w:tcPr>
            <w:tcW w:w="3969" w:type="dxa"/>
            <w:shd w:val="clear" w:color="auto" w:fill="auto"/>
            <w:vAlign w:val="center"/>
            <w:hideMark/>
          </w:tcPr>
          <w:p w:rsidR="00D84A9D" w:rsidRPr="004923B3" w:rsidRDefault="00F7539A" w:rsidP="00347DD5">
            <w:pPr>
              <w:spacing w:after="0" w:line="240" w:lineRule="auto"/>
              <w:rPr>
                <w:rFonts w:ascii="Times New Roman" w:eastAsia="Times New Roman" w:hAnsi="Times New Roman"/>
                <w:sz w:val="20"/>
                <w:szCs w:val="20"/>
              </w:rPr>
            </w:pPr>
            <w:r>
              <w:rPr>
                <w:rFonts w:ascii="Times New Roman" w:hAnsi="Times New Roman"/>
                <w:sz w:val="20"/>
                <w:szCs w:val="20"/>
              </w:rPr>
              <w:t>Within the allowed limits</w:t>
            </w:r>
            <w:r w:rsidR="00D84A9D">
              <w:rPr>
                <w:rFonts w:ascii="Times New Roman" w:hAnsi="Times New Roman"/>
                <w:sz w:val="20"/>
                <w:szCs w:val="20"/>
              </w:rPr>
              <w:t>.</w:t>
            </w:r>
          </w:p>
        </w:tc>
      </w:tr>
      <w:tr w:rsidR="000331B4" w:rsidRPr="004923B3" w:rsidTr="000331B4">
        <w:trPr>
          <w:trHeight w:val="36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9. 6</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Services of </w:t>
            </w:r>
            <w:r w:rsidR="00347DD5">
              <w:rPr>
                <w:rFonts w:ascii="Times New Roman" w:hAnsi="Times New Roman"/>
                <w:sz w:val="20"/>
                <w:szCs w:val="20"/>
              </w:rPr>
              <w:t>third party</w:t>
            </w:r>
            <w:r>
              <w:rPr>
                <w:rFonts w:ascii="Times New Roman" w:hAnsi="Times New Roman"/>
                <w:sz w:val="20"/>
                <w:szCs w:val="20"/>
              </w:rPr>
              <w:t xml:space="preserve"> companies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18</w:t>
            </w:r>
            <w:r w:rsidR="00F7539A">
              <w:rPr>
                <w:rFonts w:ascii="Times New Roman" w:hAnsi="Times New Roman"/>
                <w:sz w:val="20"/>
                <w:szCs w:val="20"/>
              </w:rPr>
              <w:t xml:space="preserve"> </w:t>
            </w:r>
            <w:r>
              <w:rPr>
                <w:rFonts w:ascii="Times New Roman" w:hAnsi="Times New Roman"/>
                <w:sz w:val="20"/>
                <w:szCs w:val="20"/>
              </w:rPr>
              <w:t>985</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22</w:t>
            </w:r>
            <w:r w:rsidR="00F7539A">
              <w:rPr>
                <w:rFonts w:ascii="Times New Roman" w:hAnsi="Times New Roman"/>
                <w:sz w:val="20"/>
                <w:szCs w:val="20"/>
              </w:rPr>
              <w:t xml:space="preserve"> </w:t>
            </w:r>
            <w:r>
              <w:rPr>
                <w:rFonts w:ascii="Times New Roman" w:hAnsi="Times New Roman"/>
                <w:sz w:val="20"/>
                <w:szCs w:val="20"/>
              </w:rPr>
              <w:t>092</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116%</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The reason for exceeding costs is associated with an increase in the cost of the services provided for the acquisition of antivirus software and the legal information data base Paragraph (lawyer and accountant).</w:t>
            </w:r>
          </w:p>
        </w:tc>
      </w:tr>
      <w:tr w:rsidR="000331B4" w:rsidRPr="004923B3" w:rsidTr="000331B4">
        <w:trPr>
          <w:trHeight w:val="132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9. 7</w:t>
            </w:r>
          </w:p>
        </w:tc>
        <w:tc>
          <w:tcPr>
            <w:tcW w:w="2757" w:type="dxa"/>
            <w:shd w:val="clear" w:color="auto" w:fill="auto"/>
            <w:vAlign w:val="center"/>
            <w:hideMark/>
          </w:tcPr>
          <w:p w:rsidR="00D84A9D" w:rsidRPr="004923B3" w:rsidRDefault="00347DD5" w:rsidP="00347DD5">
            <w:pPr>
              <w:spacing w:after="0" w:line="240" w:lineRule="auto"/>
              <w:rPr>
                <w:rFonts w:ascii="Times New Roman" w:eastAsia="Times New Roman" w:hAnsi="Times New Roman"/>
                <w:sz w:val="20"/>
                <w:szCs w:val="20"/>
              </w:rPr>
            </w:pPr>
            <w:r>
              <w:rPr>
                <w:rFonts w:ascii="Times New Roman" w:hAnsi="Times New Roman"/>
                <w:sz w:val="20"/>
                <w:szCs w:val="20"/>
              </w:rPr>
              <w:t>Business trip related</w:t>
            </w:r>
            <w:r w:rsidR="00D84A9D">
              <w:rPr>
                <w:rFonts w:ascii="Times New Roman" w:hAnsi="Times New Roman"/>
                <w:sz w:val="20"/>
                <w:szCs w:val="20"/>
              </w:rPr>
              <w:t xml:space="preserve"> services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68</w:t>
            </w:r>
            <w:r w:rsidR="00F7539A">
              <w:rPr>
                <w:rFonts w:ascii="Times New Roman" w:hAnsi="Times New Roman"/>
                <w:sz w:val="20"/>
                <w:szCs w:val="20"/>
              </w:rPr>
              <w:t xml:space="preserve"> </w:t>
            </w:r>
            <w:r>
              <w:rPr>
                <w:rFonts w:ascii="Times New Roman" w:hAnsi="Times New Roman"/>
                <w:sz w:val="20"/>
                <w:szCs w:val="20"/>
              </w:rPr>
              <w:t>474</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98</w:t>
            </w:r>
            <w:r w:rsidR="00F7539A">
              <w:rPr>
                <w:rFonts w:ascii="Times New Roman" w:hAnsi="Times New Roman"/>
                <w:sz w:val="20"/>
                <w:szCs w:val="20"/>
              </w:rPr>
              <w:t xml:space="preserve"> </w:t>
            </w:r>
            <w:r>
              <w:rPr>
                <w:rFonts w:ascii="Times New Roman" w:hAnsi="Times New Roman"/>
                <w:sz w:val="20"/>
                <w:szCs w:val="20"/>
              </w:rPr>
              <w:t>452</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144%</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The excess of expenses is due to the increase in monthly calculated index and increase in the number of business trip days. </w:t>
            </w:r>
          </w:p>
        </w:tc>
      </w:tr>
      <w:tr w:rsidR="000331B4"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9. 8</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Banks services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6</w:t>
            </w:r>
            <w:r w:rsidR="00F7539A">
              <w:rPr>
                <w:rFonts w:ascii="Times New Roman" w:hAnsi="Times New Roman"/>
                <w:sz w:val="20"/>
                <w:szCs w:val="20"/>
              </w:rPr>
              <w:t xml:space="preserve"> </w:t>
            </w:r>
            <w:r>
              <w:rPr>
                <w:rFonts w:ascii="Times New Roman" w:hAnsi="Times New Roman"/>
                <w:sz w:val="20"/>
                <w:szCs w:val="20"/>
              </w:rPr>
              <w:t>974</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w:t>
            </w:r>
            <w:r w:rsidR="00F7539A">
              <w:rPr>
                <w:rFonts w:ascii="Times New Roman" w:hAnsi="Times New Roman"/>
                <w:sz w:val="20"/>
                <w:szCs w:val="20"/>
              </w:rPr>
              <w:t xml:space="preserve"> </w:t>
            </w:r>
            <w:r>
              <w:rPr>
                <w:rFonts w:ascii="Times New Roman" w:hAnsi="Times New Roman"/>
                <w:sz w:val="20"/>
                <w:szCs w:val="20"/>
              </w:rPr>
              <w:t>517</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108%</w:t>
            </w:r>
          </w:p>
        </w:tc>
        <w:tc>
          <w:tcPr>
            <w:tcW w:w="3969" w:type="dxa"/>
            <w:shd w:val="clear" w:color="auto" w:fill="auto"/>
            <w:vAlign w:val="center"/>
            <w:hideMark/>
          </w:tcPr>
          <w:p w:rsidR="00D84A9D" w:rsidRPr="004923B3" w:rsidRDefault="00F7539A" w:rsidP="00347DD5">
            <w:pPr>
              <w:spacing w:after="0" w:line="240" w:lineRule="auto"/>
              <w:rPr>
                <w:rFonts w:ascii="Times New Roman" w:eastAsia="Times New Roman" w:hAnsi="Times New Roman"/>
                <w:sz w:val="20"/>
                <w:szCs w:val="20"/>
              </w:rPr>
            </w:pPr>
            <w:r>
              <w:rPr>
                <w:rFonts w:ascii="Times New Roman" w:hAnsi="Times New Roman"/>
                <w:sz w:val="20"/>
                <w:szCs w:val="20"/>
              </w:rPr>
              <w:t>Within the allowed limits</w:t>
            </w:r>
            <w:r w:rsidR="00D84A9D">
              <w:rPr>
                <w:rFonts w:ascii="Times New Roman" w:hAnsi="Times New Roman"/>
                <w:sz w:val="20"/>
                <w:szCs w:val="20"/>
              </w:rPr>
              <w:t>.</w:t>
            </w:r>
          </w:p>
          <w:p w:rsidR="00D84A9D" w:rsidRPr="004923B3" w:rsidRDefault="00D84A9D" w:rsidP="00347DD5">
            <w:pPr>
              <w:spacing w:after="0" w:line="240" w:lineRule="auto"/>
              <w:rPr>
                <w:rFonts w:ascii="Times New Roman" w:eastAsia="Times New Roman" w:hAnsi="Times New Roman"/>
                <w:sz w:val="20"/>
                <w:szCs w:val="20"/>
                <w:highlight w:val="yellow"/>
                <w:lang w:eastAsia="ru-RU"/>
              </w:rPr>
            </w:pPr>
          </w:p>
        </w:tc>
      </w:tr>
      <w:tr w:rsidR="000331B4" w:rsidRPr="004923B3" w:rsidTr="000331B4">
        <w:trPr>
          <w:trHeight w:val="55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9. 9</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Services of </w:t>
            </w:r>
            <w:r w:rsidR="00347DD5">
              <w:rPr>
                <w:rFonts w:ascii="Times New Roman" w:hAnsi="Times New Roman"/>
                <w:sz w:val="20"/>
                <w:szCs w:val="20"/>
              </w:rPr>
              <w:t>third party</w:t>
            </w:r>
            <w:r>
              <w:rPr>
                <w:rFonts w:ascii="Times New Roman" w:hAnsi="Times New Roman"/>
                <w:sz w:val="20"/>
                <w:szCs w:val="20"/>
              </w:rPr>
              <w:t xml:space="preserve"> companies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15</w:t>
            </w:r>
            <w:r w:rsidR="00F7539A">
              <w:rPr>
                <w:rFonts w:ascii="Times New Roman" w:hAnsi="Times New Roman"/>
                <w:sz w:val="20"/>
                <w:szCs w:val="20"/>
              </w:rPr>
              <w:t xml:space="preserve"> </w:t>
            </w:r>
            <w:r>
              <w:rPr>
                <w:rFonts w:ascii="Times New Roman" w:hAnsi="Times New Roman"/>
                <w:sz w:val="20"/>
                <w:szCs w:val="20"/>
              </w:rPr>
              <w:t>050</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23</w:t>
            </w:r>
            <w:r w:rsidR="00F7539A">
              <w:rPr>
                <w:rFonts w:ascii="Times New Roman" w:hAnsi="Times New Roman"/>
                <w:sz w:val="20"/>
                <w:szCs w:val="20"/>
              </w:rPr>
              <w:t xml:space="preserve"> </w:t>
            </w:r>
            <w:r>
              <w:rPr>
                <w:rFonts w:ascii="Times New Roman" w:hAnsi="Times New Roman"/>
                <w:sz w:val="20"/>
                <w:szCs w:val="20"/>
              </w:rPr>
              <w:t>075</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153%</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highlight w:val="yellow"/>
              </w:rPr>
            </w:pPr>
            <w:r>
              <w:rPr>
                <w:rFonts w:ascii="Times New Roman" w:hAnsi="Times New Roman"/>
                <w:sz w:val="20"/>
                <w:szCs w:val="20"/>
              </w:rPr>
              <w:t>The increase in the cost of audit services made an effect on increase in costs for this service.</w:t>
            </w:r>
          </w:p>
        </w:tc>
      </w:tr>
      <w:tr w:rsidR="000331B4" w:rsidRPr="004923B3" w:rsidTr="000331B4">
        <w:trPr>
          <w:trHeight w:val="72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9. 10</w:t>
            </w:r>
          </w:p>
        </w:tc>
        <w:tc>
          <w:tcPr>
            <w:tcW w:w="2757" w:type="dxa"/>
            <w:shd w:val="clear" w:color="auto" w:fill="auto"/>
            <w:vAlign w:val="center"/>
            <w:hideMark/>
          </w:tcPr>
          <w:p w:rsidR="00D84A9D" w:rsidRPr="004923B3" w:rsidRDefault="00347DD5" w:rsidP="00347DD5">
            <w:pPr>
              <w:spacing w:after="0" w:line="240" w:lineRule="auto"/>
              <w:rPr>
                <w:rFonts w:ascii="Times New Roman" w:eastAsia="Times New Roman" w:hAnsi="Times New Roman"/>
                <w:sz w:val="20"/>
                <w:szCs w:val="20"/>
              </w:rPr>
            </w:pPr>
            <w:r>
              <w:rPr>
                <w:rFonts w:ascii="Times New Roman" w:hAnsi="Times New Roman"/>
                <w:sz w:val="20"/>
                <w:szCs w:val="20"/>
              </w:rPr>
              <w:t>Extra</w:t>
            </w:r>
            <w:r w:rsidR="00D84A9D">
              <w:rPr>
                <w:rFonts w:ascii="Times New Roman" w:hAnsi="Times New Roman"/>
                <w:sz w:val="20"/>
                <w:szCs w:val="20"/>
              </w:rPr>
              <w:t xml:space="preserve">-departmental security </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10</w:t>
            </w:r>
            <w:r w:rsidR="00F7539A">
              <w:rPr>
                <w:rFonts w:ascii="Times New Roman" w:hAnsi="Times New Roman"/>
                <w:sz w:val="20"/>
                <w:szCs w:val="20"/>
              </w:rPr>
              <w:t xml:space="preserve"> </w:t>
            </w:r>
            <w:r>
              <w:rPr>
                <w:rFonts w:ascii="Times New Roman" w:hAnsi="Times New Roman"/>
                <w:sz w:val="20"/>
                <w:szCs w:val="20"/>
              </w:rPr>
              <w:t>202</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w:t>
            </w:r>
            <w:r w:rsidR="00F7539A">
              <w:rPr>
                <w:rFonts w:ascii="Times New Roman" w:hAnsi="Times New Roman"/>
                <w:sz w:val="20"/>
                <w:szCs w:val="20"/>
              </w:rPr>
              <w:t xml:space="preserve"> </w:t>
            </w:r>
            <w:r>
              <w:rPr>
                <w:rFonts w:ascii="Times New Roman" w:hAnsi="Times New Roman"/>
                <w:sz w:val="20"/>
                <w:szCs w:val="20"/>
              </w:rPr>
              <w:t>209</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71%</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In the current tariff estimate, amounts were approved for the security of offices in Almaty in the amount of 8,114 thousand tenge and in </w:t>
            </w:r>
            <w:r>
              <w:rPr>
                <w:rFonts w:ascii="Times New Roman" w:hAnsi="Times New Roman"/>
                <w:sz w:val="20"/>
                <w:szCs w:val="20"/>
              </w:rPr>
              <w:lastRenderedPageBreak/>
              <w:t>Astana in the amount of 2,088 thousand tenge. Due to the fact that security service of the office in Astana was not carried out, savings occurred.</w:t>
            </w:r>
          </w:p>
          <w:p w:rsidR="00D84A9D" w:rsidRPr="004923B3" w:rsidRDefault="00D84A9D" w:rsidP="00347DD5">
            <w:pPr>
              <w:spacing w:after="0" w:line="240" w:lineRule="auto"/>
              <w:rPr>
                <w:rFonts w:ascii="Times New Roman" w:eastAsia="Times New Roman" w:hAnsi="Times New Roman"/>
                <w:sz w:val="20"/>
                <w:szCs w:val="20"/>
                <w:highlight w:val="yellow"/>
                <w:lang w:eastAsia="ru-RU"/>
              </w:rPr>
            </w:pPr>
          </w:p>
        </w:tc>
      </w:tr>
      <w:tr w:rsidR="000331B4"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lastRenderedPageBreak/>
              <w:t>9. 11</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Taxes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w:t>
            </w:r>
            <w:r w:rsidR="00F7539A">
              <w:rPr>
                <w:rFonts w:ascii="Times New Roman" w:hAnsi="Times New Roman"/>
                <w:sz w:val="20"/>
                <w:szCs w:val="20"/>
              </w:rPr>
              <w:t xml:space="preserve"> </w:t>
            </w:r>
            <w:r>
              <w:rPr>
                <w:rFonts w:ascii="Times New Roman" w:hAnsi="Times New Roman"/>
                <w:sz w:val="20"/>
                <w:szCs w:val="20"/>
              </w:rPr>
              <w:t>294</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20</w:t>
            </w:r>
            <w:r w:rsidR="00F7539A">
              <w:rPr>
                <w:rFonts w:ascii="Times New Roman" w:hAnsi="Times New Roman"/>
                <w:sz w:val="20"/>
                <w:szCs w:val="20"/>
              </w:rPr>
              <w:t xml:space="preserve"> </w:t>
            </w:r>
            <w:r>
              <w:rPr>
                <w:rFonts w:ascii="Times New Roman" w:hAnsi="Times New Roman"/>
                <w:sz w:val="20"/>
                <w:szCs w:val="20"/>
              </w:rPr>
              <w:t>239</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1564%</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highlight w:val="red"/>
                <w:lang w:eastAsia="ru-RU"/>
              </w:rPr>
            </w:pPr>
          </w:p>
          <w:p w:rsidR="00D84A9D" w:rsidRPr="004923B3" w:rsidRDefault="00D84A9D" w:rsidP="00347DD5">
            <w:pPr>
              <w:spacing w:after="0" w:line="240" w:lineRule="auto"/>
              <w:rPr>
                <w:rFonts w:ascii="Times New Roman" w:eastAsia="Times New Roman" w:hAnsi="Times New Roman"/>
                <w:sz w:val="20"/>
                <w:szCs w:val="20"/>
                <w:highlight w:val="red"/>
                <w:lang w:eastAsia="ru-RU"/>
              </w:rPr>
            </w:pPr>
          </w:p>
          <w:p w:rsidR="00D84A9D" w:rsidRPr="004923B3" w:rsidRDefault="00D84A9D" w:rsidP="00347DD5">
            <w:pPr>
              <w:spacing w:after="0" w:line="240" w:lineRule="auto"/>
              <w:rPr>
                <w:rFonts w:ascii="Times New Roman" w:eastAsia="Times New Roman" w:hAnsi="Times New Roman"/>
                <w:sz w:val="20"/>
                <w:szCs w:val="20"/>
                <w:highlight w:val="yellow"/>
              </w:rPr>
            </w:pPr>
            <w:r>
              <w:rPr>
                <w:rFonts w:ascii="Times New Roman" w:hAnsi="Times New Roman"/>
                <w:sz w:val="20"/>
                <w:szCs w:val="20"/>
              </w:rPr>
              <w:t>Motortransport taxes made 1 336 thous. KZT. Due the payment of corporate tax from a non-resident in the amount of 18,903 thousand KZT, the over-execution of cost was occurred.</w:t>
            </w:r>
          </w:p>
        </w:tc>
      </w:tr>
      <w:tr w:rsidR="000331B4"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9. 12</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Communication services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14</w:t>
            </w:r>
            <w:r w:rsidR="00F7539A">
              <w:rPr>
                <w:rFonts w:ascii="Times New Roman" w:hAnsi="Times New Roman"/>
                <w:sz w:val="20"/>
                <w:szCs w:val="20"/>
              </w:rPr>
              <w:t xml:space="preserve"> </w:t>
            </w:r>
            <w:r>
              <w:rPr>
                <w:rFonts w:ascii="Times New Roman" w:hAnsi="Times New Roman"/>
                <w:sz w:val="20"/>
                <w:szCs w:val="20"/>
              </w:rPr>
              <w:t>729</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10</w:t>
            </w:r>
            <w:r w:rsidR="00F7539A">
              <w:rPr>
                <w:rFonts w:ascii="Times New Roman" w:hAnsi="Times New Roman"/>
                <w:sz w:val="20"/>
                <w:szCs w:val="20"/>
              </w:rPr>
              <w:t xml:space="preserve"> </w:t>
            </w:r>
            <w:r>
              <w:rPr>
                <w:rFonts w:ascii="Times New Roman" w:hAnsi="Times New Roman"/>
                <w:sz w:val="20"/>
                <w:szCs w:val="20"/>
              </w:rPr>
              <w:t>147</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69%</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w:t>
            </w:r>
          </w:p>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    Saving has occurred due to reduction in quantity of long-distance calls, and  transition to more efficient tariffs.</w:t>
            </w:r>
          </w:p>
        </w:tc>
      </w:tr>
      <w:tr w:rsidR="000331B4" w:rsidRPr="004923B3" w:rsidTr="000331B4">
        <w:trPr>
          <w:trHeight w:val="94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9. 13</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Expenses for vehicles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23</w:t>
            </w:r>
            <w:r w:rsidR="00F7539A">
              <w:rPr>
                <w:rFonts w:ascii="Times New Roman" w:hAnsi="Times New Roman"/>
                <w:sz w:val="20"/>
                <w:szCs w:val="20"/>
              </w:rPr>
              <w:t xml:space="preserve"> </w:t>
            </w:r>
            <w:r>
              <w:rPr>
                <w:rFonts w:ascii="Times New Roman" w:hAnsi="Times New Roman"/>
                <w:sz w:val="20"/>
                <w:szCs w:val="20"/>
              </w:rPr>
              <w:t>376</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28</w:t>
            </w:r>
            <w:r w:rsidR="00F7539A">
              <w:rPr>
                <w:rFonts w:ascii="Times New Roman" w:hAnsi="Times New Roman"/>
                <w:sz w:val="20"/>
                <w:szCs w:val="20"/>
              </w:rPr>
              <w:t xml:space="preserve"> </w:t>
            </w:r>
            <w:r>
              <w:rPr>
                <w:rFonts w:ascii="Times New Roman" w:hAnsi="Times New Roman"/>
                <w:sz w:val="20"/>
                <w:szCs w:val="20"/>
              </w:rPr>
              <w:t>615</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122%</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highlight w:val="yellow"/>
                <w:lang w:eastAsia="ru-RU"/>
              </w:rPr>
            </w:pPr>
          </w:p>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Over execution has occurred due to increase of fuel cost (POL).</w:t>
            </w:r>
          </w:p>
          <w:p w:rsidR="00D84A9D" w:rsidRPr="004923B3" w:rsidRDefault="00D84A9D" w:rsidP="00347DD5">
            <w:pPr>
              <w:spacing w:after="0" w:line="240" w:lineRule="auto"/>
              <w:rPr>
                <w:rFonts w:ascii="Times New Roman" w:eastAsia="Times New Roman" w:hAnsi="Times New Roman"/>
                <w:sz w:val="20"/>
                <w:szCs w:val="20"/>
                <w:highlight w:val="yellow"/>
              </w:rPr>
            </w:pPr>
            <w:r>
              <w:rPr>
                <w:rFonts w:ascii="Times New Roman" w:hAnsi="Times New Roman"/>
                <w:sz w:val="20"/>
                <w:szCs w:val="20"/>
              </w:rPr>
              <w:t>The cost of fuel in the current tariff estimate makes 103 KZT for 1 liter, the actual average POL write-off cost made 110 KZT for 1 liter.</w:t>
            </w:r>
          </w:p>
        </w:tc>
      </w:tr>
      <w:tr w:rsidR="000331B4" w:rsidRPr="004923B3" w:rsidTr="000331B4">
        <w:trPr>
          <w:trHeight w:val="63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9. 14</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Insurance</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w:t>
            </w:r>
            <w:r w:rsidR="00F7539A">
              <w:rPr>
                <w:rFonts w:ascii="Times New Roman" w:hAnsi="Times New Roman"/>
                <w:sz w:val="20"/>
                <w:szCs w:val="20"/>
              </w:rPr>
              <w:t xml:space="preserve"> </w:t>
            </w:r>
            <w:r>
              <w:rPr>
                <w:rFonts w:ascii="Times New Roman" w:hAnsi="Times New Roman"/>
                <w:sz w:val="20"/>
                <w:szCs w:val="20"/>
              </w:rPr>
              <w:t>165</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3</w:t>
            </w:r>
            <w:r w:rsidR="00F7539A">
              <w:rPr>
                <w:rFonts w:ascii="Times New Roman" w:hAnsi="Times New Roman"/>
                <w:sz w:val="20"/>
                <w:szCs w:val="20"/>
              </w:rPr>
              <w:t xml:space="preserve"> </w:t>
            </w:r>
            <w:r>
              <w:rPr>
                <w:rFonts w:ascii="Times New Roman" w:hAnsi="Times New Roman"/>
                <w:sz w:val="20"/>
                <w:szCs w:val="20"/>
              </w:rPr>
              <w:t>928</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337%</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In the current tariff estimate, insurance costs do not include the costs of voluntary insurance for vehicle owners.</w:t>
            </w:r>
            <w:r>
              <w:rPr>
                <w:rFonts w:ascii="Times New Roman" w:hAnsi="Times New Roman"/>
                <w:sz w:val="20"/>
                <w:szCs w:val="20"/>
              </w:rPr>
              <w:cr/>
            </w:r>
            <w:r>
              <w:rPr>
                <w:rFonts w:ascii="Times New Roman" w:hAnsi="Times New Roman"/>
                <w:sz w:val="20"/>
                <w:szCs w:val="20"/>
              </w:rPr>
              <w:br/>
              <w:t xml:space="preserve"> </w:t>
            </w:r>
          </w:p>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The increase in the monthly calculation index also contributed to an increase in costs. </w:t>
            </w:r>
          </w:p>
          <w:p w:rsidR="00D84A9D" w:rsidRPr="004923B3" w:rsidRDefault="00D84A9D" w:rsidP="00347DD5">
            <w:pPr>
              <w:spacing w:after="0" w:line="240" w:lineRule="auto"/>
              <w:rPr>
                <w:rFonts w:ascii="Times New Roman" w:eastAsia="Times New Roman" w:hAnsi="Times New Roman"/>
                <w:sz w:val="20"/>
                <w:szCs w:val="20"/>
                <w:highlight w:val="red"/>
                <w:lang w:eastAsia="ru-RU"/>
              </w:rPr>
            </w:pPr>
          </w:p>
        </w:tc>
      </w:tr>
      <w:tr w:rsidR="000331B4"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9. 15</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Personnel training</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6</w:t>
            </w:r>
            <w:r w:rsidR="00F7539A">
              <w:rPr>
                <w:rFonts w:ascii="Times New Roman" w:hAnsi="Times New Roman"/>
                <w:sz w:val="20"/>
                <w:szCs w:val="20"/>
              </w:rPr>
              <w:t xml:space="preserve"> </w:t>
            </w:r>
            <w:r>
              <w:rPr>
                <w:rFonts w:ascii="Times New Roman" w:hAnsi="Times New Roman"/>
                <w:sz w:val="20"/>
                <w:szCs w:val="20"/>
              </w:rPr>
              <w:t>233</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8</w:t>
            </w:r>
            <w:r w:rsidR="00F7539A">
              <w:rPr>
                <w:rFonts w:ascii="Times New Roman" w:hAnsi="Times New Roman"/>
                <w:sz w:val="20"/>
                <w:szCs w:val="20"/>
              </w:rPr>
              <w:t xml:space="preserve"> </w:t>
            </w:r>
            <w:r>
              <w:rPr>
                <w:rFonts w:ascii="Times New Roman" w:hAnsi="Times New Roman"/>
                <w:sz w:val="20"/>
                <w:szCs w:val="20"/>
              </w:rPr>
              <w:t>107</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130%</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highlight w:val="yellow"/>
                <w:lang w:eastAsia="ru-RU"/>
              </w:rPr>
            </w:pPr>
          </w:p>
          <w:p w:rsidR="00D84A9D" w:rsidRPr="004923B3" w:rsidRDefault="00D84A9D" w:rsidP="00347DD5">
            <w:pPr>
              <w:spacing w:after="0" w:line="240" w:lineRule="auto"/>
              <w:rPr>
                <w:rFonts w:ascii="Times New Roman" w:eastAsia="Times New Roman" w:hAnsi="Times New Roman"/>
                <w:sz w:val="20"/>
                <w:szCs w:val="20"/>
                <w:highlight w:val="yellow"/>
              </w:rPr>
            </w:pPr>
            <w:r>
              <w:rPr>
                <w:rFonts w:ascii="Times New Roman" w:hAnsi="Times New Roman"/>
                <w:sz w:val="20"/>
                <w:szCs w:val="20"/>
              </w:rPr>
              <w:t>The increase in costs is associated with an increase in the number of trainees, as well as an in</w:t>
            </w:r>
            <w:r w:rsidR="00B1781F">
              <w:rPr>
                <w:rFonts w:ascii="Times New Roman" w:hAnsi="Times New Roman"/>
                <w:sz w:val="20"/>
                <w:szCs w:val="20"/>
              </w:rPr>
              <w:t>crease in the cost of training.</w:t>
            </w:r>
            <w:r>
              <w:rPr>
                <w:rFonts w:ascii="Times New Roman" w:hAnsi="Times New Roman"/>
                <w:sz w:val="20"/>
                <w:szCs w:val="20"/>
              </w:rPr>
              <w:br/>
            </w:r>
          </w:p>
        </w:tc>
      </w:tr>
      <w:tr w:rsidR="000331B4"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9. 16</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Other compensations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0</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jc w:val="right"/>
              <w:rPr>
                <w:rFonts w:ascii="Times New Roman" w:eastAsia="Times New Roman" w:hAnsi="Times New Roman"/>
                <w:sz w:val="20"/>
                <w:szCs w:val="20"/>
              </w:rPr>
            </w:pPr>
            <w:r>
              <w:rPr>
                <w:rFonts w:ascii="Times New Roman" w:hAnsi="Times New Roman"/>
                <w:sz w:val="20"/>
                <w:szCs w:val="20"/>
              </w:rPr>
              <w:t> </w:t>
            </w:r>
          </w:p>
        </w:tc>
      </w:tr>
      <w:tr w:rsidR="000331B4"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9. 17</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 xml:space="preserve">Other expenses </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10</w:t>
            </w:r>
            <w:r w:rsidR="00F7539A">
              <w:rPr>
                <w:rFonts w:ascii="Times New Roman" w:hAnsi="Times New Roman"/>
                <w:sz w:val="20"/>
                <w:szCs w:val="20"/>
              </w:rPr>
              <w:t xml:space="preserve"> </w:t>
            </w:r>
            <w:r>
              <w:rPr>
                <w:rFonts w:ascii="Times New Roman" w:hAnsi="Times New Roman"/>
                <w:sz w:val="20"/>
                <w:szCs w:val="20"/>
              </w:rPr>
              <w:t>736</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34</w:t>
            </w:r>
            <w:r w:rsidR="00F7539A">
              <w:rPr>
                <w:rFonts w:ascii="Times New Roman" w:hAnsi="Times New Roman"/>
                <w:sz w:val="20"/>
                <w:szCs w:val="20"/>
              </w:rPr>
              <w:t xml:space="preserve"> </w:t>
            </w:r>
            <w:r>
              <w:rPr>
                <w:rFonts w:ascii="Times New Roman" w:hAnsi="Times New Roman"/>
                <w:sz w:val="20"/>
                <w:szCs w:val="20"/>
              </w:rPr>
              <w:t>117</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318%</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The reason for exceeding costs is an increase in the cost of printing, postal and courier services</w:t>
            </w:r>
          </w:p>
          <w:p w:rsidR="00D84A9D" w:rsidRPr="004923B3" w:rsidRDefault="00D84A9D" w:rsidP="00347DD5">
            <w:pPr>
              <w:spacing w:after="0" w:line="240" w:lineRule="auto"/>
              <w:rPr>
                <w:rFonts w:ascii="Times New Roman" w:eastAsia="Times New Roman" w:hAnsi="Times New Roman"/>
                <w:sz w:val="20"/>
                <w:szCs w:val="20"/>
                <w:highlight w:val="yellow"/>
                <w:lang w:eastAsia="ru-RU"/>
              </w:rPr>
            </w:pPr>
          </w:p>
        </w:tc>
      </w:tr>
      <w:tr w:rsidR="000331B4" w:rsidRPr="004923B3" w:rsidTr="000331B4">
        <w:trPr>
          <w:trHeight w:val="6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lastRenderedPageBreak/>
              <w:t>10</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sz w:val="20"/>
                <w:szCs w:val="20"/>
              </w:rPr>
              <w:t>Incentive payment cost</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 </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1</w:t>
            </w:r>
            <w:r w:rsidR="00F7539A">
              <w:rPr>
                <w:rFonts w:ascii="Times New Roman" w:hAnsi="Times New Roman"/>
                <w:sz w:val="20"/>
                <w:szCs w:val="20"/>
              </w:rPr>
              <w:t xml:space="preserve"> </w:t>
            </w:r>
            <w:r>
              <w:rPr>
                <w:rFonts w:ascii="Times New Roman" w:hAnsi="Times New Roman"/>
                <w:sz w:val="20"/>
                <w:szCs w:val="20"/>
              </w:rPr>
              <w:t>536</w:t>
            </w:r>
            <w:r w:rsidR="00F7539A">
              <w:rPr>
                <w:rFonts w:ascii="Times New Roman" w:hAnsi="Times New Roman"/>
                <w:sz w:val="20"/>
                <w:szCs w:val="20"/>
              </w:rPr>
              <w:t xml:space="preserve"> </w:t>
            </w:r>
            <w:r>
              <w:rPr>
                <w:rFonts w:ascii="Times New Roman" w:hAnsi="Times New Roman"/>
                <w:sz w:val="20"/>
                <w:szCs w:val="20"/>
              </w:rPr>
              <w:t>086</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5</w:t>
            </w:r>
            <w:r w:rsidR="00F7539A">
              <w:rPr>
                <w:rFonts w:ascii="Times New Roman" w:hAnsi="Times New Roman"/>
                <w:sz w:val="20"/>
                <w:szCs w:val="20"/>
              </w:rPr>
              <w:t xml:space="preserve"> </w:t>
            </w:r>
            <w:r>
              <w:rPr>
                <w:rFonts w:ascii="Times New Roman" w:hAnsi="Times New Roman"/>
                <w:sz w:val="20"/>
                <w:szCs w:val="20"/>
              </w:rPr>
              <w:t>444</w:t>
            </w:r>
            <w:r w:rsidR="00F7539A">
              <w:rPr>
                <w:rFonts w:ascii="Times New Roman" w:hAnsi="Times New Roman"/>
                <w:sz w:val="20"/>
                <w:szCs w:val="20"/>
              </w:rPr>
              <w:t xml:space="preserve"> </w:t>
            </w:r>
            <w:r>
              <w:rPr>
                <w:rFonts w:ascii="Times New Roman" w:hAnsi="Times New Roman"/>
                <w:sz w:val="20"/>
                <w:szCs w:val="20"/>
              </w:rPr>
              <w:t>888</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354%</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lang w:eastAsia="ru-RU"/>
              </w:rPr>
            </w:pPr>
          </w:p>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color w:val="000000"/>
                <w:sz w:val="20"/>
                <w:szCs w:val="20"/>
                <w:shd w:val="clear" w:color="auto" w:fill="FFFFFF"/>
              </w:rPr>
              <w:t xml:space="preserve">Decision of National bank and Government of the Republic of Kazakhstan on implementation of new monetary and credit policy, established on inflation targeting regime,  and transfer to floating tenge exchange rate </w:t>
            </w:r>
            <w:r>
              <w:rPr>
                <w:rFonts w:ascii="Times New Roman" w:hAnsi="Times New Roman"/>
                <w:sz w:val="20"/>
                <w:szCs w:val="20"/>
              </w:rPr>
              <w:t xml:space="preserve">in August 2015 resulted in increase of costs for payment of incentives in US dollars. </w:t>
            </w:r>
          </w:p>
          <w:p w:rsidR="00D84A9D" w:rsidRPr="004923B3" w:rsidRDefault="00D84A9D" w:rsidP="00347DD5">
            <w:pPr>
              <w:spacing w:after="0" w:line="240" w:lineRule="auto"/>
              <w:rPr>
                <w:rFonts w:ascii="Times New Roman" w:eastAsia="Times New Roman" w:hAnsi="Times New Roman"/>
                <w:sz w:val="20"/>
                <w:szCs w:val="20"/>
                <w:highlight w:val="yellow"/>
              </w:rPr>
            </w:pPr>
            <w:r>
              <w:rPr>
                <w:rFonts w:ascii="pt_serif" w:hAnsi="pt_serif"/>
                <w:color w:val="000000"/>
                <w:sz w:val="20"/>
                <w:szCs w:val="20"/>
                <w:shd w:val="clear" w:color="auto" w:fill="FFFFFF"/>
              </w:rPr>
              <w:br/>
            </w:r>
          </w:p>
        </w:tc>
      </w:tr>
      <w:tr w:rsidR="000331B4" w:rsidRPr="004923B3" w:rsidTr="000331B4">
        <w:trPr>
          <w:trHeight w:val="58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III.</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 xml:space="preserve">Total expenses </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sz w:val="20"/>
                <w:szCs w:val="20"/>
              </w:rPr>
            </w:pPr>
            <w:r>
              <w:rPr>
                <w:rFonts w:ascii="Times New Roman" w:hAnsi="Times New Roman"/>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13</w:t>
            </w:r>
            <w:r w:rsidR="00F7539A">
              <w:rPr>
                <w:rFonts w:ascii="Times New Roman" w:hAnsi="Times New Roman"/>
                <w:b/>
                <w:bCs/>
                <w:sz w:val="20"/>
                <w:szCs w:val="20"/>
              </w:rPr>
              <w:t xml:space="preserve"> </w:t>
            </w:r>
            <w:r>
              <w:rPr>
                <w:rFonts w:ascii="Times New Roman" w:hAnsi="Times New Roman"/>
                <w:b/>
                <w:bCs/>
                <w:sz w:val="20"/>
                <w:szCs w:val="20"/>
              </w:rPr>
              <w:t>899</w:t>
            </w:r>
            <w:r w:rsidR="00F7539A">
              <w:rPr>
                <w:rFonts w:ascii="Times New Roman" w:hAnsi="Times New Roman"/>
                <w:b/>
                <w:bCs/>
                <w:sz w:val="20"/>
                <w:szCs w:val="20"/>
              </w:rPr>
              <w:t xml:space="preserve"> </w:t>
            </w:r>
            <w:r>
              <w:rPr>
                <w:rFonts w:ascii="Times New Roman" w:hAnsi="Times New Roman"/>
                <w:b/>
                <w:bCs/>
                <w:sz w:val="20"/>
                <w:szCs w:val="20"/>
              </w:rPr>
              <w:t>435</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18</w:t>
            </w:r>
            <w:r w:rsidR="00F7539A">
              <w:rPr>
                <w:rFonts w:ascii="Times New Roman" w:hAnsi="Times New Roman"/>
                <w:b/>
                <w:bCs/>
                <w:sz w:val="20"/>
                <w:szCs w:val="20"/>
              </w:rPr>
              <w:t xml:space="preserve"> </w:t>
            </w:r>
            <w:r>
              <w:rPr>
                <w:rFonts w:ascii="Times New Roman" w:hAnsi="Times New Roman"/>
                <w:b/>
                <w:bCs/>
                <w:sz w:val="20"/>
                <w:szCs w:val="20"/>
              </w:rPr>
              <w:t>088</w:t>
            </w:r>
            <w:r w:rsidR="00F7539A">
              <w:rPr>
                <w:rFonts w:ascii="Times New Roman" w:hAnsi="Times New Roman"/>
                <w:b/>
                <w:bCs/>
                <w:sz w:val="20"/>
                <w:szCs w:val="20"/>
              </w:rPr>
              <w:t xml:space="preserve"> </w:t>
            </w:r>
            <w:r>
              <w:rPr>
                <w:rFonts w:ascii="Times New Roman" w:hAnsi="Times New Roman"/>
                <w:b/>
                <w:bCs/>
                <w:sz w:val="20"/>
                <w:szCs w:val="20"/>
              </w:rPr>
              <w:t>608</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130%</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Cs/>
                <w:sz w:val="20"/>
                <w:szCs w:val="20"/>
              </w:rPr>
            </w:pPr>
            <w:r>
              <w:rPr>
                <w:rFonts w:ascii="Times New Roman" w:hAnsi="Times New Roman"/>
                <w:bCs/>
                <w:sz w:val="20"/>
                <w:szCs w:val="20"/>
              </w:rPr>
              <w:t xml:space="preserve">Increase in costs is due to increase of the period expenses. </w:t>
            </w:r>
            <w:r>
              <w:rPr>
                <w:rFonts w:ascii="Times New Roman" w:hAnsi="Times New Roman"/>
                <w:sz w:val="20"/>
                <w:szCs w:val="20"/>
              </w:rPr>
              <w:t>The main costs specific weight is associated with an increase in incentives payment costs. Payment of incentives depends on the exchange rate of the national currency to the US dollar.</w:t>
            </w:r>
          </w:p>
        </w:tc>
      </w:tr>
      <w:tr w:rsidR="000331B4" w:rsidRPr="004923B3" w:rsidTr="000331B4">
        <w:trPr>
          <w:trHeight w:val="315"/>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IV.</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 xml:space="preserve">Profit </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15</w:t>
            </w:r>
            <w:r w:rsidR="00F7539A">
              <w:rPr>
                <w:rFonts w:ascii="Times New Roman" w:hAnsi="Times New Roman"/>
                <w:b/>
                <w:bCs/>
                <w:sz w:val="20"/>
                <w:szCs w:val="20"/>
              </w:rPr>
              <w:t xml:space="preserve"> </w:t>
            </w:r>
            <w:r>
              <w:rPr>
                <w:rFonts w:ascii="Times New Roman" w:hAnsi="Times New Roman"/>
                <w:b/>
                <w:bCs/>
                <w:sz w:val="20"/>
                <w:szCs w:val="20"/>
              </w:rPr>
              <w:t>513</w:t>
            </w:r>
            <w:r w:rsidR="00F7539A">
              <w:rPr>
                <w:rFonts w:ascii="Times New Roman" w:hAnsi="Times New Roman"/>
                <w:b/>
                <w:bCs/>
                <w:sz w:val="20"/>
                <w:szCs w:val="20"/>
              </w:rPr>
              <w:t xml:space="preserve"> </w:t>
            </w:r>
            <w:r>
              <w:rPr>
                <w:rFonts w:ascii="Times New Roman" w:hAnsi="Times New Roman"/>
                <w:b/>
                <w:bCs/>
                <w:sz w:val="20"/>
                <w:szCs w:val="20"/>
              </w:rPr>
              <w:t>065</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3</w:t>
            </w:r>
            <w:r w:rsidR="00F7539A">
              <w:rPr>
                <w:rFonts w:ascii="Times New Roman" w:hAnsi="Times New Roman"/>
                <w:b/>
                <w:bCs/>
                <w:sz w:val="20"/>
                <w:szCs w:val="20"/>
              </w:rPr>
              <w:t xml:space="preserve"> </w:t>
            </w:r>
            <w:r>
              <w:rPr>
                <w:rFonts w:ascii="Times New Roman" w:hAnsi="Times New Roman"/>
                <w:b/>
                <w:bCs/>
                <w:sz w:val="20"/>
                <w:szCs w:val="20"/>
              </w:rPr>
              <w:t>783</w:t>
            </w:r>
            <w:r w:rsidR="00F7539A">
              <w:rPr>
                <w:rFonts w:ascii="Times New Roman" w:hAnsi="Times New Roman"/>
                <w:b/>
                <w:bCs/>
                <w:sz w:val="20"/>
                <w:szCs w:val="20"/>
              </w:rPr>
              <w:t xml:space="preserve"> </w:t>
            </w:r>
            <w:r>
              <w:rPr>
                <w:rFonts w:ascii="Times New Roman" w:hAnsi="Times New Roman"/>
                <w:b/>
                <w:bCs/>
                <w:sz w:val="20"/>
                <w:szCs w:val="20"/>
              </w:rPr>
              <w:t>228</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-24%</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Cs/>
                <w:sz w:val="20"/>
                <w:szCs w:val="20"/>
              </w:rPr>
            </w:pPr>
            <w:r>
              <w:rPr>
                <w:rFonts w:ascii="Times New Roman" w:hAnsi="Times New Roman"/>
                <w:bCs/>
                <w:sz w:val="20"/>
                <w:szCs w:val="20"/>
              </w:rPr>
              <w:t>The loss is related to reduction in revenues from gas transportation through the main gas pipeline and increase of the period expenses.</w:t>
            </w:r>
            <w:r>
              <w:rPr>
                <w:rFonts w:ascii="Times New Roman" w:hAnsi="Times New Roman"/>
                <w:bCs/>
                <w:sz w:val="20"/>
                <w:szCs w:val="20"/>
              </w:rPr>
              <w:br/>
              <w:t xml:space="preserve">  </w:t>
            </w:r>
          </w:p>
        </w:tc>
      </w:tr>
      <w:tr w:rsidR="000331B4" w:rsidRPr="004923B3" w:rsidTr="000331B4">
        <w:trPr>
          <w:trHeight w:val="585"/>
        </w:trPr>
        <w:tc>
          <w:tcPr>
            <w:tcW w:w="671"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V</w:t>
            </w:r>
          </w:p>
        </w:tc>
        <w:tc>
          <w:tcPr>
            <w:tcW w:w="2757" w:type="dxa"/>
            <w:shd w:val="clear" w:color="auto" w:fill="auto"/>
            <w:vAlign w:val="center"/>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Total incomes</w:t>
            </w:r>
          </w:p>
        </w:tc>
        <w:tc>
          <w:tcPr>
            <w:tcW w:w="1197"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w:t>
            </w:r>
          </w:p>
        </w:tc>
        <w:tc>
          <w:tcPr>
            <w:tcW w:w="2043"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29</w:t>
            </w:r>
            <w:r w:rsidR="00F7539A">
              <w:rPr>
                <w:rFonts w:ascii="Times New Roman" w:hAnsi="Times New Roman"/>
                <w:b/>
                <w:bCs/>
                <w:sz w:val="20"/>
                <w:szCs w:val="20"/>
              </w:rPr>
              <w:t xml:space="preserve"> </w:t>
            </w:r>
            <w:r>
              <w:rPr>
                <w:rFonts w:ascii="Times New Roman" w:hAnsi="Times New Roman"/>
                <w:b/>
                <w:bCs/>
                <w:sz w:val="20"/>
                <w:szCs w:val="20"/>
              </w:rPr>
              <w:t>412</w:t>
            </w:r>
            <w:r w:rsidR="00F7539A">
              <w:rPr>
                <w:rFonts w:ascii="Times New Roman" w:hAnsi="Times New Roman"/>
                <w:b/>
                <w:bCs/>
                <w:sz w:val="20"/>
                <w:szCs w:val="20"/>
              </w:rPr>
              <w:t xml:space="preserve"> </w:t>
            </w:r>
            <w:r>
              <w:rPr>
                <w:rFonts w:ascii="Times New Roman" w:hAnsi="Times New Roman"/>
                <w:b/>
                <w:bCs/>
                <w:sz w:val="20"/>
                <w:szCs w:val="20"/>
              </w:rPr>
              <w:t>500</w:t>
            </w:r>
          </w:p>
        </w:tc>
        <w:tc>
          <w:tcPr>
            <w:tcW w:w="1701" w:type="dxa"/>
            <w:shd w:val="clear" w:color="auto" w:fill="auto"/>
            <w:vAlign w:val="center"/>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14</w:t>
            </w:r>
            <w:r w:rsidR="00F7539A">
              <w:rPr>
                <w:rFonts w:ascii="Times New Roman" w:hAnsi="Times New Roman"/>
                <w:b/>
                <w:bCs/>
                <w:sz w:val="20"/>
                <w:szCs w:val="20"/>
              </w:rPr>
              <w:t xml:space="preserve"> </w:t>
            </w:r>
            <w:r>
              <w:rPr>
                <w:rFonts w:ascii="Times New Roman" w:hAnsi="Times New Roman"/>
                <w:b/>
                <w:bCs/>
                <w:sz w:val="20"/>
                <w:szCs w:val="20"/>
              </w:rPr>
              <w:t>305</w:t>
            </w:r>
            <w:r w:rsidR="00F7539A">
              <w:rPr>
                <w:rFonts w:ascii="Times New Roman" w:hAnsi="Times New Roman"/>
                <w:b/>
                <w:bCs/>
                <w:sz w:val="20"/>
                <w:szCs w:val="20"/>
              </w:rPr>
              <w:t xml:space="preserve"> </w:t>
            </w:r>
            <w:r>
              <w:rPr>
                <w:rFonts w:ascii="Times New Roman" w:hAnsi="Times New Roman"/>
                <w:b/>
                <w:bCs/>
                <w:sz w:val="20"/>
                <w:szCs w:val="20"/>
              </w:rPr>
              <w:t>380</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49%</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Cs/>
                <w:sz w:val="20"/>
                <w:szCs w:val="20"/>
              </w:rPr>
            </w:pPr>
            <w:r>
              <w:rPr>
                <w:rFonts w:ascii="Times New Roman" w:hAnsi="Times New Roman"/>
                <w:bCs/>
                <w:sz w:val="20"/>
                <w:szCs w:val="20"/>
              </w:rPr>
              <w:t>The reduction in revenues is due to the decrease in actual volumes of gas transportation from planned values.</w:t>
            </w:r>
            <w:r>
              <w:rPr>
                <w:rFonts w:ascii="Times New Roman" w:hAnsi="Times New Roman"/>
                <w:bCs/>
                <w:sz w:val="20"/>
                <w:szCs w:val="20"/>
              </w:rPr>
              <w:br/>
              <w:t xml:space="preserve">  </w:t>
            </w:r>
          </w:p>
        </w:tc>
      </w:tr>
      <w:tr w:rsidR="000331B4" w:rsidRPr="004923B3" w:rsidTr="000331B4">
        <w:trPr>
          <w:trHeight w:val="630"/>
        </w:trPr>
        <w:tc>
          <w:tcPr>
            <w:tcW w:w="67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vi</w:t>
            </w:r>
          </w:p>
        </w:tc>
        <w:tc>
          <w:tcPr>
            <w:tcW w:w="2757"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Scope of services (goods, works) to be rendered</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thous.m3</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2</w:t>
            </w:r>
            <w:r w:rsidR="00F7539A">
              <w:rPr>
                <w:rFonts w:ascii="Times New Roman" w:hAnsi="Times New Roman"/>
                <w:b/>
                <w:bCs/>
                <w:sz w:val="20"/>
                <w:szCs w:val="20"/>
              </w:rPr>
              <w:t xml:space="preserve"> </w:t>
            </w:r>
            <w:r>
              <w:rPr>
                <w:rFonts w:ascii="Times New Roman" w:hAnsi="Times New Roman"/>
                <w:b/>
                <w:bCs/>
                <w:sz w:val="20"/>
                <w:szCs w:val="20"/>
              </w:rPr>
              <w:t>500</w:t>
            </w:r>
            <w:r w:rsidR="00F7539A">
              <w:rPr>
                <w:rFonts w:ascii="Times New Roman" w:hAnsi="Times New Roman"/>
                <w:b/>
                <w:bCs/>
                <w:sz w:val="20"/>
                <w:szCs w:val="20"/>
              </w:rPr>
              <w:t xml:space="preserve"> </w:t>
            </w:r>
            <w:r>
              <w:rPr>
                <w:rFonts w:ascii="Times New Roman" w:hAnsi="Times New Roman"/>
                <w:b/>
                <w:bCs/>
                <w:sz w:val="20"/>
                <w:szCs w:val="20"/>
              </w:rPr>
              <w:t>000</w:t>
            </w:r>
          </w:p>
        </w:tc>
        <w:tc>
          <w:tcPr>
            <w:tcW w:w="1701" w:type="dxa"/>
            <w:shd w:val="clear" w:color="auto" w:fill="auto"/>
            <w:vAlign w:val="center"/>
            <w:hideMark/>
          </w:tcPr>
          <w:p w:rsidR="00D84A9D" w:rsidRPr="00AE3A9F" w:rsidRDefault="00AE3A9F"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w:t>
            </w:r>
            <w:r w:rsidR="00F7539A">
              <w:rPr>
                <w:rFonts w:ascii="Times New Roman" w:hAnsi="Times New Roman"/>
                <w:b/>
                <w:bCs/>
                <w:sz w:val="20"/>
                <w:szCs w:val="20"/>
              </w:rPr>
              <w:t xml:space="preserve"> </w:t>
            </w:r>
            <w:r>
              <w:rPr>
                <w:rFonts w:ascii="Times New Roman" w:hAnsi="Times New Roman"/>
                <w:b/>
                <w:bCs/>
                <w:sz w:val="20"/>
                <w:szCs w:val="20"/>
              </w:rPr>
              <w:t>215</w:t>
            </w:r>
            <w:r w:rsidR="00F7539A">
              <w:rPr>
                <w:rFonts w:ascii="Times New Roman" w:hAnsi="Times New Roman"/>
                <w:b/>
                <w:bCs/>
                <w:sz w:val="20"/>
                <w:szCs w:val="20"/>
              </w:rPr>
              <w:t xml:space="preserve"> </w:t>
            </w:r>
            <w:r>
              <w:rPr>
                <w:rFonts w:ascii="Times New Roman" w:hAnsi="Times New Roman"/>
                <w:b/>
                <w:bCs/>
                <w:sz w:val="20"/>
                <w:szCs w:val="20"/>
              </w:rPr>
              <w:t>926</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49%</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Cs/>
                <w:sz w:val="20"/>
                <w:szCs w:val="20"/>
              </w:rPr>
            </w:pPr>
            <w:r>
              <w:rPr>
                <w:rFonts w:ascii="Times New Roman" w:hAnsi="Times New Roman"/>
                <w:bCs/>
                <w:sz w:val="20"/>
                <w:szCs w:val="20"/>
              </w:rPr>
              <w:t>The reason for the deviation in the volume of provided services is the reduction of the customer's demand in gas transportation volumes.</w:t>
            </w:r>
            <w:r>
              <w:rPr>
                <w:rFonts w:ascii="Times New Roman" w:hAnsi="Times New Roman"/>
                <w:bCs/>
                <w:sz w:val="20"/>
                <w:szCs w:val="20"/>
              </w:rPr>
              <w:cr/>
            </w:r>
            <w:r>
              <w:rPr>
                <w:rFonts w:ascii="Times New Roman" w:hAnsi="Times New Roman"/>
                <w:bCs/>
                <w:sz w:val="20"/>
                <w:szCs w:val="20"/>
              </w:rPr>
              <w:br/>
            </w:r>
          </w:p>
          <w:p w:rsidR="00D84A9D" w:rsidRPr="004923B3" w:rsidRDefault="00D84A9D" w:rsidP="00347DD5">
            <w:pPr>
              <w:spacing w:after="0" w:line="240" w:lineRule="auto"/>
              <w:rPr>
                <w:rFonts w:ascii="Times New Roman" w:eastAsia="Times New Roman" w:hAnsi="Times New Roman"/>
                <w:bCs/>
                <w:sz w:val="20"/>
                <w:szCs w:val="20"/>
                <w:lang w:eastAsia="ru-RU"/>
              </w:rPr>
            </w:pPr>
          </w:p>
        </w:tc>
      </w:tr>
      <w:tr w:rsidR="000331B4" w:rsidRPr="004923B3" w:rsidTr="000331B4">
        <w:trPr>
          <w:trHeight w:val="315"/>
        </w:trPr>
        <w:tc>
          <w:tcPr>
            <w:tcW w:w="671" w:type="dxa"/>
            <w:vMerge w:val="restart"/>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vii</w:t>
            </w:r>
          </w:p>
        </w:tc>
        <w:tc>
          <w:tcPr>
            <w:tcW w:w="2757" w:type="dxa"/>
            <w:vMerge w:val="restart"/>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Rated losses</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1.45</w:t>
            </w:r>
          </w:p>
        </w:tc>
        <w:tc>
          <w:tcPr>
            <w:tcW w:w="1701" w:type="dxa"/>
            <w:shd w:val="clear" w:color="auto" w:fill="FFFFFF"/>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1.55</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lang w:eastAsia="ru-RU"/>
              </w:rPr>
            </w:pP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 </w:t>
            </w:r>
          </w:p>
        </w:tc>
      </w:tr>
      <w:tr w:rsidR="000331B4" w:rsidRPr="004923B3" w:rsidTr="000331B4">
        <w:trPr>
          <w:trHeight w:val="450"/>
        </w:trPr>
        <w:tc>
          <w:tcPr>
            <w:tcW w:w="671" w:type="dxa"/>
            <w:vMerge/>
            <w:vAlign w:val="center"/>
            <w:hideMark/>
          </w:tcPr>
          <w:p w:rsidR="00D84A9D" w:rsidRPr="004923B3" w:rsidRDefault="00D84A9D" w:rsidP="00347DD5">
            <w:pPr>
              <w:spacing w:after="0" w:line="240" w:lineRule="auto"/>
              <w:rPr>
                <w:rFonts w:ascii="Times New Roman" w:eastAsia="Times New Roman" w:hAnsi="Times New Roman"/>
                <w:b/>
                <w:bCs/>
                <w:sz w:val="20"/>
                <w:szCs w:val="20"/>
                <w:lang w:eastAsia="ru-RU"/>
              </w:rPr>
            </w:pPr>
          </w:p>
        </w:tc>
        <w:tc>
          <w:tcPr>
            <w:tcW w:w="2757" w:type="dxa"/>
            <w:vMerge/>
            <w:vAlign w:val="center"/>
            <w:hideMark/>
          </w:tcPr>
          <w:p w:rsidR="00D84A9D" w:rsidRPr="004923B3" w:rsidRDefault="00D84A9D" w:rsidP="00347DD5">
            <w:pPr>
              <w:spacing w:after="0" w:line="240" w:lineRule="auto"/>
              <w:rPr>
                <w:rFonts w:ascii="Times New Roman" w:eastAsia="Times New Roman" w:hAnsi="Times New Roman"/>
                <w:b/>
                <w:bCs/>
                <w:sz w:val="20"/>
                <w:szCs w:val="20"/>
                <w:lang w:eastAsia="ru-RU"/>
              </w:rPr>
            </w:pPr>
          </w:p>
        </w:tc>
        <w:tc>
          <w:tcPr>
            <w:tcW w:w="1197" w:type="dxa"/>
            <w:shd w:val="clear" w:color="auto" w:fill="auto"/>
            <w:vAlign w:val="center"/>
            <w:hideMark/>
          </w:tcPr>
          <w:p w:rsidR="00D84A9D" w:rsidRPr="004923B3" w:rsidRDefault="00D84A9D" w:rsidP="004827FB">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1000 m</w:t>
            </w:r>
            <w:r w:rsidR="004827FB">
              <w:rPr>
                <w:rFonts w:ascii="Times New Roman" w:hAnsi="Times New Roman"/>
                <w:b/>
                <w:bCs/>
                <w:sz w:val="20"/>
                <w:szCs w:val="20"/>
              </w:rPr>
              <w:t>3</w:t>
            </w:r>
            <w:r>
              <w:rPr>
                <w:rFonts w:ascii="Times New Roman" w:hAnsi="Times New Roman"/>
                <w:b/>
                <w:bCs/>
                <w:sz w:val="20"/>
                <w:szCs w:val="20"/>
              </w:rPr>
              <w:t xml:space="preserve"> </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36</w:t>
            </w:r>
            <w:r w:rsidR="00F7539A">
              <w:rPr>
                <w:rFonts w:ascii="Times New Roman" w:hAnsi="Times New Roman"/>
                <w:b/>
                <w:bCs/>
                <w:sz w:val="20"/>
                <w:szCs w:val="20"/>
              </w:rPr>
              <w:t xml:space="preserve"> </w:t>
            </w:r>
            <w:r>
              <w:rPr>
                <w:rFonts w:ascii="Times New Roman" w:hAnsi="Times New Roman"/>
                <w:b/>
                <w:bCs/>
                <w:sz w:val="20"/>
                <w:szCs w:val="20"/>
              </w:rPr>
              <w:t>164</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18</w:t>
            </w:r>
            <w:r w:rsidR="00F7539A">
              <w:rPr>
                <w:rFonts w:ascii="Times New Roman" w:hAnsi="Times New Roman"/>
                <w:b/>
                <w:bCs/>
                <w:sz w:val="20"/>
                <w:szCs w:val="20"/>
              </w:rPr>
              <w:t xml:space="preserve"> </w:t>
            </w:r>
            <w:r>
              <w:rPr>
                <w:rFonts w:ascii="Times New Roman" w:hAnsi="Times New Roman"/>
                <w:b/>
                <w:bCs/>
                <w:sz w:val="20"/>
                <w:szCs w:val="20"/>
              </w:rPr>
              <w:t>838</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52%</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sz w:val="20"/>
                <w:szCs w:val="20"/>
              </w:rPr>
            </w:pPr>
            <w:r>
              <w:rPr>
                <w:rFonts w:ascii="Times New Roman" w:hAnsi="Times New Roman"/>
                <w:b/>
                <w:bCs/>
                <w:sz w:val="20"/>
                <w:szCs w:val="20"/>
              </w:rPr>
              <w:t> </w:t>
            </w:r>
            <w:r>
              <w:rPr>
                <w:rFonts w:ascii="Times New Roman" w:hAnsi="Times New Roman"/>
                <w:sz w:val="20"/>
                <w:szCs w:val="20"/>
              </w:rPr>
              <w:t>Gas consumption volume for OD&amp;PL was scheduled based on gas transportation volume in the amount of  2 500 000 thous.</w:t>
            </w:r>
            <w:r w:rsidR="00B1781F">
              <w:rPr>
                <w:rFonts w:ascii="Times New Roman" w:hAnsi="Times New Roman"/>
                <w:sz w:val="20"/>
                <w:szCs w:val="20"/>
              </w:rPr>
              <w:t>m</w:t>
            </w:r>
            <w:r>
              <w:rPr>
                <w:rFonts w:ascii="Times New Roman" w:hAnsi="Times New Roman"/>
                <w:sz w:val="20"/>
                <w:szCs w:val="20"/>
              </w:rPr>
              <w:t>3, the actual gas transportation volume in 2015 made1 215 926 thous.m3;</w:t>
            </w:r>
          </w:p>
          <w:p w:rsidR="00D84A9D" w:rsidRPr="004923B3" w:rsidRDefault="00D84A9D" w:rsidP="00347DD5">
            <w:pPr>
              <w:spacing w:after="0" w:line="240" w:lineRule="auto"/>
              <w:rPr>
                <w:rFonts w:ascii="Times New Roman" w:eastAsia="Times New Roman" w:hAnsi="Times New Roman"/>
                <w:b/>
                <w:bCs/>
                <w:sz w:val="20"/>
                <w:szCs w:val="20"/>
                <w:lang w:eastAsia="ru-RU"/>
              </w:rPr>
            </w:pPr>
          </w:p>
        </w:tc>
      </w:tr>
      <w:tr w:rsidR="000331B4" w:rsidRPr="004923B3" w:rsidTr="000331B4">
        <w:trPr>
          <w:trHeight w:val="630"/>
        </w:trPr>
        <w:tc>
          <w:tcPr>
            <w:tcW w:w="671" w:type="dxa"/>
            <w:vMerge w:val="restart"/>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lastRenderedPageBreak/>
              <w:t>VIII</w:t>
            </w:r>
          </w:p>
        </w:tc>
        <w:tc>
          <w:tcPr>
            <w:tcW w:w="2757" w:type="dxa"/>
            <w:vMerge w:val="restart"/>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Tariff (excluding VAT)</w:t>
            </w: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tenge/ 1000 m</w:t>
            </w:r>
            <w:r>
              <w:rPr>
                <w:rFonts w:ascii="Times New Roman" w:hAnsi="Times New Roman"/>
                <w:b/>
                <w:bCs/>
                <w:sz w:val="20"/>
                <w:szCs w:val="20"/>
                <w:vertAlign w:val="superscript"/>
              </w:rPr>
              <w:t xml:space="preserve">3  </w:t>
            </w:r>
          </w:p>
        </w:tc>
        <w:tc>
          <w:tcPr>
            <w:tcW w:w="2043"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11</w:t>
            </w:r>
            <w:r w:rsidR="00F7539A">
              <w:rPr>
                <w:rFonts w:ascii="Times New Roman" w:hAnsi="Times New Roman"/>
                <w:b/>
                <w:bCs/>
                <w:sz w:val="20"/>
                <w:szCs w:val="20"/>
              </w:rPr>
              <w:t xml:space="preserve"> </w:t>
            </w:r>
            <w:r>
              <w:rPr>
                <w:rFonts w:ascii="Times New Roman" w:hAnsi="Times New Roman"/>
                <w:b/>
                <w:bCs/>
                <w:sz w:val="20"/>
                <w:szCs w:val="20"/>
              </w:rPr>
              <w:t>765</w:t>
            </w:r>
          </w:p>
        </w:tc>
        <w:tc>
          <w:tcPr>
            <w:tcW w:w="1701"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11</w:t>
            </w:r>
            <w:r w:rsidR="00F7539A">
              <w:rPr>
                <w:rFonts w:ascii="Times New Roman" w:hAnsi="Times New Roman"/>
                <w:b/>
                <w:bCs/>
                <w:sz w:val="20"/>
                <w:szCs w:val="20"/>
              </w:rPr>
              <w:t xml:space="preserve"> </w:t>
            </w:r>
            <w:r>
              <w:rPr>
                <w:rFonts w:ascii="Times New Roman" w:hAnsi="Times New Roman"/>
                <w:b/>
                <w:bCs/>
                <w:sz w:val="20"/>
                <w:szCs w:val="20"/>
              </w:rPr>
              <w:t>765</w:t>
            </w:r>
          </w:p>
        </w:tc>
        <w:tc>
          <w:tcPr>
            <w:tcW w:w="1559"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0%</w:t>
            </w:r>
          </w:p>
        </w:tc>
        <w:tc>
          <w:tcPr>
            <w:tcW w:w="3969" w:type="dxa"/>
            <w:shd w:val="clear" w:color="auto" w:fill="auto"/>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 </w:t>
            </w:r>
          </w:p>
        </w:tc>
      </w:tr>
      <w:tr w:rsidR="000331B4" w:rsidRPr="004923B3" w:rsidTr="000331B4">
        <w:trPr>
          <w:trHeight w:val="615"/>
        </w:trPr>
        <w:tc>
          <w:tcPr>
            <w:tcW w:w="671" w:type="dxa"/>
            <w:vMerge/>
            <w:vAlign w:val="center"/>
            <w:hideMark/>
          </w:tcPr>
          <w:p w:rsidR="00D84A9D" w:rsidRPr="004923B3" w:rsidRDefault="00D84A9D" w:rsidP="00347DD5">
            <w:pPr>
              <w:spacing w:after="0" w:line="240" w:lineRule="auto"/>
              <w:rPr>
                <w:rFonts w:ascii="Times New Roman" w:eastAsia="Times New Roman" w:hAnsi="Times New Roman"/>
                <w:b/>
                <w:bCs/>
                <w:sz w:val="20"/>
                <w:szCs w:val="20"/>
                <w:lang w:eastAsia="ru-RU"/>
              </w:rPr>
            </w:pPr>
          </w:p>
        </w:tc>
        <w:tc>
          <w:tcPr>
            <w:tcW w:w="2757" w:type="dxa"/>
            <w:vMerge/>
            <w:vAlign w:val="center"/>
            <w:hideMark/>
          </w:tcPr>
          <w:p w:rsidR="00D84A9D" w:rsidRPr="004923B3" w:rsidRDefault="00D84A9D" w:rsidP="00347DD5">
            <w:pPr>
              <w:spacing w:after="0" w:line="240" w:lineRule="auto"/>
              <w:rPr>
                <w:rFonts w:ascii="Times New Roman" w:eastAsia="Times New Roman" w:hAnsi="Times New Roman"/>
                <w:b/>
                <w:bCs/>
                <w:sz w:val="20"/>
                <w:szCs w:val="20"/>
                <w:lang w:eastAsia="ru-RU"/>
              </w:rPr>
            </w:pPr>
          </w:p>
        </w:tc>
        <w:tc>
          <w:tcPr>
            <w:tcW w:w="1197" w:type="dxa"/>
            <w:shd w:val="clear" w:color="auto" w:fill="auto"/>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$/1000 m3</w:t>
            </w:r>
          </w:p>
        </w:tc>
        <w:tc>
          <w:tcPr>
            <w:tcW w:w="2043" w:type="dxa"/>
            <w:shd w:val="clear" w:color="auto" w:fill="auto"/>
            <w:noWrap/>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64</w:t>
            </w:r>
          </w:p>
        </w:tc>
        <w:tc>
          <w:tcPr>
            <w:tcW w:w="1701" w:type="dxa"/>
            <w:shd w:val="clear" w:color="auto" w:fill="auto"/>
            <w:noWrap/>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36</w:t>
            </w:r>
          </w:p>
        </w:tc>
        <w:tc>
          <w:tcPr>
            <w:tcW w:w="1559" w:type="dxa"/>
            <w:shd w:val="clear" w:color="auto" w:fill="auto"/>
            <w:noWrap/>
            <w:vAlign w:val="center"/>
            <w:hideMark/>
          </w:tcPr>
          <w:p w:rsidR="00D84A9D" w:rsidRPr="004923B3" w:rsidRDefault="00D84A9D" w:rsidP="00347DD5">
            <w:pPr>
              <w:spacing w:after="0" w:line="240" w:lineRule="auto"/>
              <w:jc w:val="center"/>
              <w:rPr>
                <w:rFonts w:ascii="Times New Roman" w:eastAsia="Times New Roman" w:hAnsi="Times New Roman"/>
                <w:b/>
                <w:bCs/>
                <w:sz w:val="20"/>
                <w:szCs w:val="20"/>
              </w:rPr>
            </w:pPr>
            <w:r>
              <w:rPr>
                <w:rFonts w:ascii="Times New Roman" w:hAnsi="Times New Roman"/>
                <w:b/>
                <w:bCs/>
                <w:sz w:val="20"/>
                <w:szCs w:val="20"/>
              </w:rPr>
              <w:t>57%</w:t>
            </w:r>
          </w:p>
        </w:tc>
        <w:tc>
          <w:tcPr>
            <w:tcW w:w="3969" w:type="dxa"/>
            <w:shd w:val="clear" w:color="auto" w:fill="auto"/>
            <w:noWrap/>
            <w:vAlign w:val="center"/>
            <w:hideMark/>
          </w:tcPr>
          <w:p w:rsidR="00D84A9D" w:rsidRPr="004923B3" w:rsidRDefault="00D84A9D" w:rsidP="00347DD5">
            <w:pPr>
              <w:spacing w:after="0" w:line="240" w:lineRule="auto"/>
              <w:rPr>
                <w:rFonts w:ascii="Times New Roman" w:eastAsia="Times New Roman" w:hAnsi="Times New Roman"/>
                <w:b/>
                <w:bCs/>
                <w:sz w:val="20"/>
                <w:szCs w:val="20"/>
              </w:rPr>
            </w:pPr>
            <w:r>
              <w:rPr>
                <w:rFonts w:ascii="Times New Roman" w:hAnsi="Times New Roman"/>
                <w:b/>
                <w:bCs/>
                <w:sz w:val="20"/>
                <w:szCs w:val="20"/>
              </w:rPr>
              <w:t> </w:t>
            </w:r>
            <w:r>
              <w:rPr>
                <w:rFonts w:ascii="Times New Roman" w:hAnsi="Times New Roman"/>
                <w:color w:val="000000"/>
                <w:sz w:val="20"/>
                <w:szCs w:val="20"/>
                <w:shd w:val="clear" w:color="auto" w:fill="FFFFFF"/>
              </w:rPr>
              <w:t xml:space="preserve">Decision of National bank and Government of the Republic of Kazakhstan on implementation of new monetary and credit policy, established on inflation targeting regime,  and transfer to floating tenge exchange rate </w:t>
            </w:r>
            <w:r>
              <w:rPr>
                <w:rFonts w:ascii="Times New Roman" w:hAnsi="Times New Roman"/>
                <w:sz w:val="20"/>
                <w:szCs w:val="20"/>
              </w:rPr>
              <w:t>in August 2015 resulted in change of the tariff in the foreign currency  (US dollar).</w:t>
            </w:r>
          </w:p>
        </w:tc>
      </w:tr>
      <w:bookmarkEnd w:id="0"/>
    </w:tbl>
    <w:p w:rsidR="00A62A67" w:rsidRPr="004923B3" w:rsidRDefault="00A62A67" w:rsidP="00D84A9D">
      <w:pPr>
        <w:rPr>
          <w:sz w:val="20"/>
          <w:szCs w:val="20"/>
        </w:rPr>
      </w:pPr>
    </w:p>
    <w:sectPr w:rsidR="00A62A67" w:rsidRPr="004923B3" w:rsidSect="00D84A9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DF" w:rsidRDefault="00191BDF" w:rsidP="00C01D1A">
      <w:pPr>
        <w:spacing w:after="0" w:line="240" w:lineRule="auto"/>
      </w:pPr>
      <w:r>
        <w:separator/>
      </w:r>
    </w:p>
  </w:endnote>
  <w:endnote w:type="continuationSeparator" w:id="0">
    <w:p w:rsidR="00191BDF" w:rsidRDefault="00191BDF" w:rsidP="00C0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_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DF" w:rsidRDefault="00191BDF" w:rsidP="00C01D1A">
      <w:pPr>
        <w:spacing w:after="0" w:line="240" w:lineRule="auto"/>
      </w:pPr>
      <w:r>
        <w:separator/>
      </w:r>
    </w:p>
  </w:footnote>
  <w:footnote w:type="continuationSeparator" w:id="0">
    <w:p w:rsidR="00191BDF" w:rsidRDefault="00191BDF" w:rsidP="00C01D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D"/>
    <w:rsid w:val="000331B4"/>
    <w:rsid w:val="00055ADB"/>
    <w:rsid w:val="00111C20"/>
    <w:rsid w:val="00191BDF"/>
    <w:rsid w:val="001C76FC"/>
    <w:rsid w:val="00267976"/>
    <w:rsid w:val="002839C4"/>
    <w:rsid w:val="00347DD5"/>
    <w:rsid w:val="00401336"/>
    <w:rsid w:val="004134FE"/>
    <w:rsid w:val="004827FB"/>
    <w:rsid w:val="004923B3"/>
    <w:rsid w:val="00824895"/>
    <w:rsid w:val="00A439A6"/>
    <w:rsid w:val="00A62A67"/>
    <w:rsid w:val="00AE3A9F"/>
    <w:rsid w:val="00B1781F"/>
    <w:rsid w:val="00C01D1A"/>
    <w:rsid w:val="00D84A9D"/>
    <w:rsid w:val="00DA7A1E"/>
    <w:rsid w:val="00F1520D"/>
    <w:rsid w:val="00F7539A"/>
    <w:rsid w:val="00FA06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4A9D"/>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rsid w:val="00D84A9D"/>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C01D1A"/>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1D1A"/>
    <w:rPr>
      <w:rFonts w:ascii="Calibri" w:eastAsia="Calibri" w:hAnsi="Calibri" w:cs="Times New Roman"/>
    </w:rPr>
  </w:style>
  <w:style w:type="paragraph" w:styleId="Footer">
    <w:name w:val="footer"/>
    <w:basedOn w:val="Normal"/>
    <w:link w:val="FooterChar"/>
    <w:uiPriority w:val="99"/>
    <w:unhideWhenUsed/>
    <w:rsid w:val="00C01D1A"/>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1D1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4A9D"/>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rsid w:val="00D84A9D"/>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C01D1A"/>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1D1A"/>
    <w:rPr>
      <w:rFonts w:ascii="Calibri" w:eastAsia="Calibri" w:hAnsi="Calibri" w:cs="Times New Roman"/>
    </w:rPr>
  </w:style>
  <w:style w:type="paragraph" w:styleId="Footer">
    <w:name w:val="footer"/>
    <w:basedOn w:val="Normal"/>
    <w:link w:val="FooterChar"/>
    <w:uiPriority w:val="99"/>
    <w:unhideWhenUsed/>
    <w:rsid w:val="00C01D1A"/>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1D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70599">
      <w:bodyDiv w:val="1"/>
      <w:marLeft w:val="0"/>
      <w:marRight w:val="0"/>
      <w:marTop w:val="0"/>
      <w:marBottom w:val="0"/>
      <w:divBdr>
        <w:top w:val="none" w:sz="0" w:space="0" w:color="auto"/>
        <w:left w:val="none" w:sz="0" w:space="0" w:color="auto"/>
        <w:bottom w:val="none" w:sz="0" w:space="0" w:color="auto"/>
        <w:right w:val="none" w:sz="0" w:space="0" w:color="auto"/>
      </w:divBdr>
    </w:div>
    <w:div w:id="157006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1662</Words>
  <Characters>9478</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Bauyrzhan Kabi &lt;BPEA&gt;</dc:creator>
  <cp:lastModifiedBy>User</cp:lastModifiedBy>
  <cp:revision>20</cp:revision>
  <dcterms:created xsi:type="dcterms:W3CDTF">2018-01-12T15:08:00Z</dcterms:created>
  <dcterms:modified xsi:type="dcterms:W3CDTF">2018-01-13T18:46:00Z</dcterms:modified>
</cp:coreProperties>
</file>